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E46" w:rsidRPr="00F01E46" w:rsidRDefault="00F01E46" w:rsidP="00F01E46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F01E46">
        <w:rPr>
          <w:rFonts w:asciiTheme="minorHAnsi" w:hAnsiTheme="minorHAnsi" w:cstheme="minorHAnsi"/>
          <w:sz w:val="40"/>
          <w:szCs w:val="40"/>
        </w:rPr>
        <w:t xml:space="preserve">Assessments Calendar </w:t>
      </w:r>
      <w:r>
        <w:rPr>
          <w:rFonts w:asciiTheme="minorHAnsi" w:hAnsiTheme="minorHAnsi" w:cstheme="minorHAnsi"/>
          <w:sz w:val="40"/>
          <w:szCs w:val="40"/>
        </w:rPr>
        <w:t xml:space="preserve">– Academic Year </w:t>
      </w:r>
      <w:r w:rsidRPr="00F01E46">
        <w:rPr>
          <w:rFonts w:asciiTheme="minorHAnsi" w:hAnsiTheme="minorHAnsi" w:cstheme="minorHAnsi"/>
          <w:sz w:val="40"/>
          <w:szCs w:val="40"/>
        </w:rPr>
        <w:t>2021-22</w:t>
      </w:r>
    </w:p>
    <w:p w:rsidR="00F01E46" w:rsidRPr="00F01E46" w:rsidRDefault="00F01E46" w:rsidP="00F01E46"/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5387"/>
        <w:gridCol w:w="2550"/>
      </w:tblGrid>
      <w:tr w:rsidR="00F01E46" w:rsidRPr="007B5102" w:rsidTr="00F01E46">
        <w:trPr>
          <w:trHeight w:val="283"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b/>
                <w:sz w:val="24"/>
                <w:szCs w:val="24"/>
              </w:rPr>
            </w:pPr>
            <w:r w:rsidRPr="007B5102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B5102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b/>
                <w:sz w:val="24"/>
                <w:szCs w:val="24"/>
              </w:rPr>
            </w:pPr>
            <w:r w:rsidRPr="007B5102">
              <w:rPr>
                <w:rFonts w:cstheme="minorHAnsi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255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b/>
                <w:sz w:val="24"/>
                <w:szCs w:val="24"/>
              </w:rPr>
            </w:pPr>
            <w:r w:rsidRPr="007B5102">
              <w:rPr>
                <w:rFonts w:cstheme="minorHAnsi"/>
                <w:b/>
                <w:bCs/>
                <w:sz w:val="24"/>
                <w:szCs w:val="24"/>
              </w:rPr>
              <w:t>Venue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10 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Final deadline for Chair’s Actions and Suspected Malpractice Outcome decisions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4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registry@marjon.ac.uk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13 Sep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After 1400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Publication of 2020/21 results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Learning Space</w:t>
            </w:r>
          </w:p>
        </w:tc>
      </w:tr>
      <w:tr w:rsidR="00F01E46" w:rsidRPr="007B5102" w:rsidTr="00F01E46">
        <w:trPr>
          <w:trHeight w:val="444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13 Sep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Deadline for provision of all assessment submission deadlines to Student Admin Team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13 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Publication of Semester A, B, C, Term 1, 2 and 3 and Resits on </w:t>
            </w:r>
            <w:proofErr w:type="spellStart"/>
            <w:r w:rsidRPr="007B5102">
              <w:rPr>
                <w:rFonts w:cstheme="minorHAnsi"/>
                <w:sz w:val="24"/>
                <w:szCs w:val="24"/>
              </w:rPr>
              <w:t>LearningSpace</w:t>
            </w:r>
            <w:proofErr w:type="spellEnd"/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5102">
              <w:rPr>
                <w:rFonts w:cstheme="minorHAnsi"/>
                <w:sz w:val="24"/>
                <w:szCs w:val="24"/>
              </w:rPr>
              <w:t>LearningSpace</w:t>
            </w:r>
            <w:proofErr w:type="spellEnd"/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20 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Standard Induction Week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W/C 25/10/2021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Graduation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21 Jan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Coursework submission 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(Final deadline Semester A and Sem </w:t>
            </w:r>
            <w:proofErr w:type="gramStart"/>
            <w:r w:rsidRPr="007B5102">
              <w:rPr>
                <w:rFonts w:cstheme="minorHAnsi"/>
                <w:sz w:val="24"/>
                <w:szCs w:val="24"/>
              </w:rPr>
              <w:t>A</w:t>
            </w:r>
            <w:proofErr w:type="gramEnd"/>
            <w:r w:rsidRPr="007B5102">
              <w:rPr>
                <w:rFonts w:cstheme="minorHAnsi"/>
                <w:sz w:val="24"/>
                <w:szCs w:val="24"/>
              </w:rPr>
              <w:t xml:space="preserve"> Trailed resit/deferred assessments)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Wed 26 Jan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Coursework submission 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(Final deadline Term 1 and Term 1 Trailed resit/deferred assessments)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28 Jan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Extenuating Circumstances (Final deadline Semester A)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Wed 2 Feb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Extenuating Circumstances (Final deadline Term 1)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6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11 Feb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Marking submission (Final deadline Semester A incl. Sem A Trailed Resits/Deferred modules)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Wed 16 Feb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Marking submission (Final deadline Term 1 incl. Term 1 Trailed/Resit modules)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w/c 21 Feb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Pre-MAB Meetings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Wed 23 Feb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Module Assessment Boards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7 Mar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1000 </w:t>
            </w:r>
          </w:p>
        </w:tc>
        <w:tc>
          <w:tcPr>
            <w:tcW w:w="5387" w:type="dxa"/>
            <w:shd w:val="clear" w:color="auto" w:fill="auto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Progression &amp; Award Boards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Registry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7 Mar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1400</w:t>
            </w:r>
          </w:p>
        </w:tc>
        <w:tc>
          <w:tcPr>
            <w:tcW w:w="5387" w:type="dxa"/>
            <w:shd w:val="clear" w:color="auto" w:fill="auto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Progression &amp; Award Boards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Registry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Tue 15 Mar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1200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Final deadline for Chair’s Actions to be received and Suspected Malpractice Outcome decisions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7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registry@marjon.ac.uk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lastRenderedPageBreak/>
              <w:t>Wed 16 Mar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After 1400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Publication of Progression &amp; Award Board results (including Semester A/Term 1 modules and Semester A/Term 1 trailed resit/deferred modules)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5102">
              <w:rPr>
                <w:rFonts w:cstheme="minorHAnsi"/>
                <w:sz w:val="24"/>
                <w:szCs w:val="24"/>
              </w:rPr>
              <w:t>LearningSpace</w:t>
            </w:r>
            <w:proofErr w:type="spellEnd"/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Wed 6 Apr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Coursework submission (Final deadline Term 2)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Wed 13 Apr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Extenuating Circumstances (Final deadline Term 2) 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8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Tue 3 May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Marking submission – (Final deadline Term 2)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20 May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Coursework submission (Final deadline Semester B, excluding PGT and Sem B Trailed resit/deferred assessments)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(Optional deadline for Semester A Resits/Deferred Coursework)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23 May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Publication of Semester A/Term 1 FINAL resit/deferred assessments on </w:t>
            </w:r>
            <w:proofErr w:type="spellStart"/>
            <w:r w:rsidRPr="007B5102">
              <w:rPr>
                <w:rFonts w:cstheme="minorHAnsi"/>
                <w:sz w:val="24"/>
                <w:szCs w:val="24"/>
              </w:rPr>
              <w:t>LearningSpace</w:t>
            </w:r>
            <w:proofErr w:type="spellEnd"/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5102">
              <w:rPr>
                <w:rFonts w:cstheme="minorHAnsi"/>
                <w:sz w:val="24"/>
                <w:szCs w:val="24"/>
              </w:rPr>
              <w:t>LearningSpace</w:t>
            </w:r>
            <w:proofErr w:type="spellEnd"/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W/C 23 May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MAB Chair Session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27 May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Extenuating Circumstances for Semester B Assessments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9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3 Jun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Assessment submission – (Final deadline Term 1 Resit/Deferred)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br w:type="page"/>
              <w:t>Fri 10 Jun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Extenuating Circumstances for Term 1 Resit/Deferred Assessments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10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10 Jun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Marking submissions: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(Final deadline Semester B and Optional Semester A Resit/Deferred Assessments)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Jun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IPE Module Assessment Board, HUST Vietnam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w/c 20 Jun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Pre-MAB Meetings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24 Jun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Marking submission – (Final deadline Term 1 Resit/Deferred)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27 Jun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Module Assessment Boards (except ITT)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Tues 28 Jun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Module Assessment Boards (ITT only)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5102">
              <w:rPr>
                <w:rFonts w:cstheme="minorHAnsi"/>
                <w:sz w:val="24"/>
                <w:szCs w:val="24"/>
              </w:rPr>
              <w:lastRenderedPageBreak/>
              <w:t>Thur</w:t>
            </w:r>
            <w:proofErr w:type="spellEnd"/>
            <w:r w:rsidRPr="007B5102">
              <w:rPr>
                <w:rFonts w:cstheme="minorHAnsi"/>
                <w:sz w:val="24"/>
                <w:szCs w:val="24"/>
              </w:rPr>
              <w:t xml:space="preserve"> 30 Jun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Coursework submission – (Final deadline Term 3)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1 Jul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Marking submission – (Final deadline Term 3)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7B5102">
              <w:rPr>
                <w:rFonts w:cstheme="minorHAnsi"/>
                <w:sz w:val="24"/>
                <w:szCs w:val="24"/>
              </w:rPr>
              <w:t>Thur</w:t>
            </w:r>
            <w:proofErr w:type="spellEnd"/>
            <w:r w:rsidRPr="007B5102">
              <w:rPr>
                <w:rFonts w:cstheme="minorHAnsi"/>
                <w:sz w:val="24"/>
                <w:szCs w:val="24"/>
              </w:rPr>
              <w:t xml:space="preserve"> 7 Jul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Progression &amp; Award Boards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Registry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br w:type="page"/>
            </w:r>
            <w:proofErr w:type="spellStart"/>
            <w:r w:rsidRPr="007B5102">
              <w:rPr>
                <w:rFonts w:cstheme="minorHAnsi"/>
                <w:sz w:val="24"/>
                <w:szCs w:val="24"/>
              </w:rPr>
              <w:t>Thur</w:t>
            </w:r>
            <w:proofErr w:type="spellEnd"/>
            <w:r w:rsidRPr="007B5102">
              <w:rPr>
                <w:rFonts w:cstheme="minorHAnsi"/>
                <w:sz w:val="24"/>
                <w:szCs w:val="24"/>
              </w:rPr>
              <w:t xml:space="preserve"> 7 Jul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Extenuating Circumstances for Term 3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11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8 Jul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Progression &amp; Award Boards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Registry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15 Jul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Final deadline for Chair’s Actions and Suspected Malpractice Outcome decisions to be received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12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registry@marjon.ac.uk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18 Jul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After 1400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Publication of Progression &amp; Award Board Results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Learning Space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w/c 18 July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Exams - SLT Clinical Exams – LCSD01 &amp; LCSH01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To be timetabled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5102">
              <w:rPr>
                <w:rFonts w:cstheme="minorHAnsi"/>
                <w:color w:val="000000" w:themeColor="text1"/>
                <w:sz w:val="24"/>
                <w:szCs w:val="24"/>
              </w:rPr>
              <w:t>w/c 18 July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5102">
              <w:rPr>
                <w:rFonts w:cstheme="minorHAnsi"/>
                <w:color w:val="000000" w:themeColor="text1"/>
                <w:sz w:val="24"/>
                <w:szCs w:val="24"/>
              </w:rPr>
              <w:t>Directors of Schools to ensure that Academic staff are available for deferred/resit consultation during this week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5102">
              <w:rPr>
                <w:rFonts w:cstheme="minorHAnsi"/>
                <w:color w:val="000000" w:themeColor="text1"/>
                <w:sz w:val="24"/>
                <w:szCs w:val="24"/>
              </w:rPr>
              <w:t>Academic Schools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br w:type="page"/>
              <w:t>w/c 25 July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Resit/Deferred Assessments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To be timetabled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29 July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Hard copy 1600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Turnitin Midnight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Resit/Deferred Coursework submission (Final deadline Sem A and B/Terms 2 &amp; 3)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Coursework (Final deadline Sem C (PGT only)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Registry Services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5 Aug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Extenuating Circumstances for: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Resit/Deferred Assessments (Final deadline Sem A and B/Terms 2 &amp; 3)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Coursework (Final deadline Sem C (PGT only)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13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extenuatingcircumstances@marjon.ac.uk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19 Aug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1600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Marking submission – 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Final deadline for Resit/Deferred Assessments Sem A and B/Terms 2 &amp; 3</w:t>
            </w:r>
          </w:p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Coursework Sem C (PGT only)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Student Admin Office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Thurs 25 Aug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Module Assessment Boards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Student Admin Team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5 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Starting at 1000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Progression &amp; Award Board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Scheduled by Registry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Fri 9 Sep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Final deadline for Chair’s Actions and Suspected Malpractice Outcome decisions to be received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hyperlink r:id="rId14" w:history="1">
              <w:r w:rsidRPr="007B5102">
                <w:rPr>
                  <w:rStyle w:val="Hyperlink"/>
                  <w:rFonts w:cstheme="minorHAnsi"/>
                  <w:sz w:val="24"/>
                  <w:szCs w:val="24"/>
                </w:rPr>
                <w:t>registry@marjon.ac.uk</w:t>
              </w:r>
            </w:hyperlink>
            <w:r w:rsidRPr="007B510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Tues 13 Sep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After 1400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Publication of results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Learning Space</w:t>
            </w:r>
          </w:p>
        </w:tc>
      </w:tr>
      <w:tr w:rsidR="00F01E46" w:rsidRPr="007B5102" w:rsidTr="00F01E46">
        <w:trPr>
          <w:trHeight w:val="227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Mon 19 Sep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Standard Induction Week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01E46" w:rsidRPr="007B5102" w:rsidTr="00F01E46">
        <w:trPr>
          <w:trHeight w:val="170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TBC Oct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 xml:space="preserve">Graduation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01E46" w:rsidRPr="007B5102" w:rsidRDefault="00F01E46" w:rsidP="00413BDD">
            <w:pPr>
              <w:autoSpaceDE w:val="0"/>
              <w:autoSpaceDN w:val="0"/>
              <w:adjustRightInd w:val="0"/>
              <w:spacing w:beforeLines="20" w:before="48" w:afterLines="20" w:after="48" w:line="240" w:lineRule="auto"/>
              <w:rPr>
                <w:rFonts w:cstheme="minorHAnsi"/>
                <w:sz w:val="24"/>
                <w:szCs w:val="24"/>
              </w:rPr>
            </w:pPr>
            <w:r w:rsidRPr="007B5102">
              <w:rPr>
                <w:rFonts w:cstheme="minorHAnsi"/>
                <w:sz w:val="24"/>
                <w:szCs w:val="24"/>
              </w:rPr>
              <w:t>Plymouth Guildhall</w:t>
            </w:r>
          </w:p>
        </w:tc>
      </w:tr>
    </w:tbl>
    <w:p w:rsidR="00F01E46" w:rsidRPr="00F01E46" w:rsidRDefault="00F01E46" w:rsidP="00F01E46">
      <w:pPr>
        <w:spacing w:after="0" w:line="240" w:lineRule="auto"/>
        <w:rPr>
          <w:rFonts w:cstheme="minorHAnsi"/>
        </w:rPr>
      </w:pPr>
    </w:p>
    <w:p w:rsidR="0087182A" w:rsidRPr="007B5102" w:rsidRDefault="00F01E46" w:rsidP="00F01E46">
      <w:pPr>
        <w:spacing w:after="0" w:line="240" w:lineRule="auto"/>
        <w:rPr>
          <w:rFonts w:cstheme="minorHAnsi"/>
          <w:iCs/>
          <w:sz w:val="24"/>
          <w:szCs w:val="24"/>
        </w:rPr>
      </w:pPr>
      <w:r w:rsidRPr="007B5102">
        <w:rPr>
          <w:rFonts w:cstheme="minorHAnsi"/>
          <w:iCs/>
          <w:sz w:val="24"/>
          <w:szCs w:val="24"/>
        </w:rPr>
        <w:t>The University is providing opportunities for immediate resit following the release of confirmed results in March.</w:t>
      </w:r>
    </w:p>
    <w:p w:rsidR="0087182A" w:rsidRPr="007B5102" w:rsidRDefault="0087182A" w:rsidP="00F01E46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F01E46" w:rsidRPr="007B5102" w:rsidRDefault="0087182A" w:rsidP="00F01E46">
      <w:pPr>
        <w:spacing w:after="0" w:line="240" w:lineRule="auto"/>
        <w:rPr>
          <w:rFonts w:cstheme="minorHAnsi"/>
          <w:iCs/>
          <w:sz w:val="24"/>
          <w:szCs w:val="24"/>
        </w:rPr>
      </w:pPr>
      <w:r w:rsidRPr="007B5102">
        <w:rPr>
          <w:rFonts w:cstheme="minorHAnsi"/>
          <w:iCs/>
          <w:sz w:val="24"/>
          <w:szCs w:val="24"/>
        </w:rPr>
        <w:t xml:space="preserve"> </w:t>
      </w:r>
      <w:r w:rsidR="00F01E46" w:rsidRPr="007B5102">
        <w:rPr>
          <w:rFonts w:cstheme="minorHAnsi"/>
          <w:iCs/>
          <w:sz w:val="24"/>
          <w:szCs w:val="24"/>
        </w:rPr>
        <w:t xml:space="preserve">Non-Teacher Training students will have the opportunity, for Semester A modules, to </w:t>
      </w:r>
      <w:proofErr w:type="spellStart"/>
      <w:r w:rsidR="00F01E46" w:rsidRPr="007B5102">
        <w:rPr>
          <w:rFonts w:cstheme="minorHAnsi"/>
          <w:iCs/>
          <w:sz w:val="24"/>
          <w:szCs w:val="24"/>
        </w:rPr>
        <w:t>resit</w:t>
      </w:r>
      <w:proofErr w:type="spellEnd"/>
      <w:r w:rsidR="00F01E46" w:rsidRPr="007B5102">
        <w:rPr>
          <w:rFonts w:cstheme="minorHAnsi"/>
          <w:iCs/>
          <w:sz w:val="24"/>
          <w:szCs w:val="24"/>
        </w:rPr>
        <w:t xml:space="preserve"> early rather than wait until the Summer resit period. </w:t>
      </w:r>
      <w:proofErr w:type="gramStart"/>
      <w:r w:rsidR="00F01E46" w:rsidRPr="007B5102">
        <w:rPr>
          <w:rFonts w:cstheme="minorHAnsi"/>
          <w:iCs/>
          <w:sz w:val="24"/>
          <w:szCs w:val="24"/>
        </w:rPr>
        <w:t>In order to</w:t>
      </w:r>
      <w:proofErr w:type="gramEnd"/>
      <w:r w:rsidR="00F01E46" w:rsidRPr="007B5102">
        <w:rPr>
          <w:rFonts w:cstheme="minorHAnsi"/>
          <w:iCs/>
          <w:sz w:val="24"/>
          <w:szCs w:val="24"/>
        </w:rPr>
        <w:t xml:space="preserve"> do this, resit, work must be received by 21 May. If students do not use this optional submission date, they must submit in July.</w:t>
      </w:r>
      <w:bookmarkStart w:id="0" w:name="_GoBack"/>
      <w:bookmarkEnd w:id="0"/>
    </w:p>
    <w:p w:rsidR="00F01E46" w:rsidRDefault="00F01E46"/>
    <w:sectPr w:rsidR="00F01E46" w:rsidSect="00DC2296">
      <w:footerReference w:type="default" r:id="rId15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F5" w:rsidRPr="003E6AC7" w:rsidRDefault="007B5102" w:rsidP="003E6AC7">
    <w:pPr>
      <w:pStyle w:val="Footer"/>
      <w:rPr>
        <w:sz w:val="16"/>
        <w:szCs w:val="16"/>
      </w:rPr>
    </w:pPr>
    <w:r>
      <w:rPr>
        <w:sz w:val="16"/>
        <w:szCs w:val="16"/>
      </w:rPr>
      <w:t>L</w:t>
    </w:r>
    <w:r w:rsidRPr="003E6AC7">
      <w:rPr>
        <w:sz w:val="16"/>
        <w:szCs w:val="16"/>
      </w:rPr>
      <w:t>/</w:t>
    </w:r>
    <w:r>
      <w:rPr>
        <w:sz w:val="16"/>
        <w:szCs w:val="16"/>
      </w:rPr>
      <w:t>Reg/Docs/Assessment Calendar 20</w:t>
    </w:r>
    <w:r>
      <w:rPr>
        <w:sz w:val="16"/>
        <w:szCs w:val="16"/>
      </w:rPr>
      <w:t xml:space="preserve">19-20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46"/>
    <w:rsid w:val="007B5102"/>
    <w:rsid w:val="0087182A"/>
    <w:rsid w:val="00F0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CB01"/>
  <w15:chartTrackingRefBased/>
  <w15:docId w15:val="{213FE125-7DAF-4F37-8373-87FCB88D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E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1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46"/>
  </w:style>
  <w:style w:type="character" w:styleId="Hyperlink">
    <w:name w:val="Hyperlink"/>
    <w:basedOn w:val="DefaultParagraphFont"/>
    <w:uiPriority w:val="99"/>
    <w:unhideWhenUsed/>
    <w:rsid w:val="00F01E4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01E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uatingcircumstances@marjon.ac.uk" TargetMode="External"/><Relationship Id="rId13" Type="http://schemas.openxmlformats.org/officeDocument/2006/relationships/hyperlink" Target="mailto:extenuatingcircumstances@marjon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gistry@marjon.ac.uk" TargetMode="External"/><Relationship Id="rId12" Type="http://schemas.openxmlformats.org/officeDocument/2006/relationships/hyperlink" Target="mailto:registry@marjon.ac.u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xtenuatingcircumstances@marjon.ac.uk" TargetMode="External"/><Relationship Id="rId11" Type="http://schemas.openxmlformats.org/officeDocument/2006/relationships/hyperlink" Target="mailto:extenuatingcircumstances@marjon.ac.uk" TargetMode="External"/><Relationship Id="rId5" Type="http://schemas.openxmlformats.org/officeDocument/2006/relationships/hyperlink" Target="mailto:extenuatingcircumstances@marjon.ac.uk" TargetMode="External"/><Relationship Id="rId15" Type="http://schemas.openxmlformats.org/officeDocument/2006/relationships/footer" Target="footer1.xml"/><Relationship Id="rId10" Type="http://schemas.openxmlformats.org/officeDocument/2006/relationships/hyperlink" Target="mailto:extenuatingcircumstances@marjon.ac.uk" TargetMode="External"/><Relationship Id="rId4" Type="http://schemas.openxmlformats.org/officeDocument/2006/relationships/hyperlink" Target="mailto:registry@marjon.ac.uk" TargetMode="External"/><Relationship Id="rId9" Type="http://schemas.openxmlformats.org/officeDocument/2006/relationships/hyperlink" Target="mailto:extenuatingcircumstances@marjon.ac.uk" TargetMode="External"/><Relationship Id="rId14" Type="http://schemas.openxmlformats.org/officeDocument/2006/relationships/hyperlink" Target="mailto:registry@marj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</dc:creator>
  <cp:keywords/>
  <dc:description/>
  <cp:lastModifiedBy>Laura Bell</cp:lastModifiedBy>
  <cp:revision>3</cp:revision>
  <dcterms:created xsi:type="dcterms:W3CDTF">2021-04-19T18:59:00Z</dcterms:created>
  <dcterms:modified xsi:type="dcterms:W3CDTF">2021-04-19T19:21:00Z</dcterms:modified>
</cp:coreProperties>
</file>