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DDEE3" w14:textId="23EC0879" w:rsidR="00110E54" w:rsidRPr="00110E54" w:rsidRDefault="00110E54" w:rsidP="00110E54">
      <w:pPr>
        <w:rPr>
          <w:rFonts w:ascii="Aharoni" w:eastAsia="Calibri" w:hAnsi="Aharoni" w:cs="Aharoni"/>
          <w:bCs/>
          <w:color w:val="FFFFFF" w:themeColor="background1"/>
          <w:sz w:val="72"/>
          <w:szCs w:val="72"/>
        </w:rPr>
      </w:pPr>
      <w:r w:rsidRPr="00E400CF">
        <w:rPr>
          <w:rFonts w:ascii="Aharoni" w:hAnsi="Aharoni" w:cs="Aharoni"/>
          <w:noProof/>
          <w:color w:val="FFFFFF" w:themeColor="background1"/>
          <w:sz w:val="52"/>
          <w:szCs w:val="52"/>
        </w:rPr>
        <mc:AlternateContent>
          <mc:Choice Requires="wps">
            <w:drawing>
              <wp:anchor distT="0" distB="0" distL="114300" distR="114300" simplePos="0" relativeHeight="251663360" behindDoc="1" locked="0" layoutInCell="1" allowOverlap="1" wp14:anchorId="2DD08768" wp14:editId="310DD9FB">
                <wp:simplePos x="0" y="0"/>
                <wp:positionH relativeFrom="page">
                  <wp:align>left</wp:align>
                </wp:positionH>
                <wp:positionV relativeFrom="paragraph">
                  <wp:posOffset>-908316</wp:posOffset>
                </wp:positionV>
                <wp:extent cx="7581900" cy="1091565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7581900" cy="10915650"/>
                        </a:xfrm>
                        <a:prstGeom prst="rect">
                          <a:avLst/>
                        </a:prstGeom>
                        <a:solidFill>
                          <a:srgbClr val="44546A">
                            <a:lumMod val="75000"/>
                          </a:srgbClr>
                        </a:solidFill>
                        <a:ln w="12700" cap="flat" cmpd="sng" algn="ctr">
                          <a:solidFill>
                            <a:srgbClr val="4472C4">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51BCB" id="Rectangle 34" o:spid="_x0000_s1026" style="position:absolute;margin-left:0;margin-top:-71.5pt;width:597pt;height:859.5pt;z-index:-2516531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" fillcolor="#333f50" strokecolor="#b4c7e7" strokeweight="1pt">
                <w10:wrap anchorx="page"/>
              </v:rect>
            </w:pict>
          </mc:Fallback>
        </mc:AlternateContent>
      </w:r>
      <w:r w:rsidRPr="00110E54">
        <w:rPr>
          <w:rFonts w:ascii="Aharoni" w:eastAsia="Calibri" w:hAnsi="Aharoni" w:cs="Aharoni"/>
          <w:bCs/>
          <w:color w:val="FFFFFF" w:themeColor="background1"/>
          <w:sz w:val="72"/>
          <w:szCs w:val="72"/>
        </w:rPr>
        <w:t>Ethical Investment Policy</w:t>
      </w:r>
    </w:p>
    <w:p w14:paraId="01BC7FAA" w14:textId="4FFF952E" w:rsidR="00110E54" w:rsidRPr="00110E54" w:rsidRDefault="00110E54" w:rsidP="00110E54">
      <w:pPr>
        <w:spacing w:line="256" w:lineRule="auto"/>
        <w:contextualSpacing/>
        <w:rPr>
          <w:rFonts w:ascii="Aharoni" w:eastAsia="Calibri" w:hAnsi="Aharoni" w:cs="Aharoni"/>
          <w:bCs/>
          <w:color w:val="FFFFFF" w:themeColor="background1"/>
          <w:sz w:val="72"/>
          <w:szCs w:val="72"/>
        </w:rPr>
      </w:pPr>
      <w:r w:rsidRPr="00110E54">
        <w:rPr>
          <w:rFonts w:ascii="Aharoni" w:eastAsia="Calibri" w:hAnsi="Aharoni" w:cs="Aharoni"/>
          <w:bCs/>
          <w:color w:val="FFFFFF" w:themeColor="background1"/>
          <w:sz w:val="72"/>
          <w:szCs w:val="72"/>
        </w:rPr>
        <w:t>2021-2026</w:t>
      </w:r>
    </w:p>
    <w:p w14:paraId="377A3E07" w14:textId="25A0C681" w:rsidR="00110E54" w:rsidRPr="00110E54" w:rsidRDefault="00110E54" w:rsidP="00110E54">
      <w:pPr>
        <w:rPr>
          <w:rFonts w:ascii="Aharoni" w:eastAsia="Calibri" w:hAnsi="Aharoni" w:cs="Aharoni"/>
          <w:bCs/>
          <w:color w:val="FFFFFF" w:themeColor="background1"/>
          <w:sz w:val="72"/>
          <w:szCs w:val="72"/>
        </w:rPr>
      </w:pPr>
      <w:r w:rsidRPr="00110E54">
        <w:rPr>
          <w:noProof/>
        </w:rPr>
        <w:drawing>
          <wp:anchor distT="0" distB="0" distL="114300" distR="114300" simplePos="0" relativeHeight="251660288" behindDoc="1" locked="0" layoutInCell="1" allowOverlap="1" wp14:anchorId="7F70DDF2" wp14:editId="27FF7C56">
            <wp:simplePos x="0" y="0"/>
            <wp:positionH relativeFrom="margin">
              <wp:align>center</wp:align>
            </wp:positionH>
            <wp:positionV relativeFrom="paragraph">
              <wp:posOffset>6911340</wp:posOffset>
            </wp:positionV>
            <wp:extent cx="2135505" cy="878205"/>
            <wp:effectExtent l="0" t="0" r="0" b="0"/>
            <wp:wrapTight wrapText="bothSides">
              <wp:wrapPolygon edited="0">
                <wp:start x="0" y="0"/>
                <wp:lineTo x="0" y="21085"/>
                <wp:lineTo x="21388" y="21085"/>
                <wp:lineTo x="21388" y="0"/>
                <wp:lineTo x="0" y="0"/>
              </wp:wrapPolygon>
            </wp:wrapTight>
            <wp:docPr id="195" name="Picture 19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Logo&#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066" t="17107" r="5082" b="16757"/>
                    <a:stretch/>
                  </pic:blipFill>
                  <pic:spPr bwMode="auto">
                    <a:xfrm>
                      <a:off x="0" y="0"/>
                      <a:ext cx="2135505" cy="878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10E54">
        <w:rPr>
          <w:rFonts w:ascii="Aharoni" w:eastAsia="Calibri" w:hAnsi="Aharoni" w:cs="Aharoni"/>
          <w:bCs/>
          <w:noProof/>
          <w:color w:val="FFFFFF" w:themeColor="background1"/>
          <w:sz w:val="72"/>
          <w:szCs w:val="72"/>
        </w:rPr>
        <w:drawing>
          <wp:anchor distT="0" distB="0" distL="114300" distR="114300" simplePos="0" relativeHeight="251659264" behindDoc="0" locked="0" layoutInCell="1" allowOverlap="1" wp14:anchorId="0F51A69E" wp14:editId="4A71B7CA">
            <wp:simplePos x="0" y="0"/>
            <wp:positionH relativeFrom="column">
              <wp:posOffset>-18747</wp:posOffset>
            </wp:positionH>
            <wp:positionV relativeFrom="paragraph">
              <wp:posOffset>1627163</wp:posOffset>
            </wp:positionV>
            <wp:extent cx="6014113" cy="3987874"/>
            <wp:effectExtent l="19050" t="19050" r="24765" b="12700"/>
            <wp:wrapThrough wrapText="bothSides">
              <wp:wrapPolygon edited="0">
                <wp:start x="-68" y="-103"/>
                <wp:lineTo x="-68" y="21566"/>
                <wp:lineTo x="21621" y="21566"/>
                <wp:lineTo x="21621" y="-103"/>
                <wp:lineTo x="-68" y="-103"/>
              </wp:wrapPolygon>
            </wp:wrapThrough>
            <wp:docPr id="46" name="Picture 46" descr="A hand holding a seedl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hand holding a seedling&#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4113" cy="3987874"/>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Pr="00110E54">
        <w:rPr>
          <w:rFonts w:ascii="Aharoni" w:eastAsia="Calibri" w:hAnsi="Aharoni" w:cs="Aharoni"/>
          <w:bCs/>
          <w:color w:val="FFFFFF" w:themeColor="background1"/>
          <w:sz w:val="72"/>
          <w:szCs w:val="72"/>
        </w:rPr>
        <w:br w:type="page"/>
      </w:r>
    </w:p>
    <w:p w14:paraId="67AA5EE5" w14:textId="77777777" w:rsidR="00110E54" w:rsidRPr="00110E54" w:rsidRDefault="00110E54" w:rsidP="00110E54">
      <w:pPr>
        <w:spacing w:line="256" w:lineRule="auto"/>
        <w:rPr>
          <w:rFonts w:ascii="Aharoni" w:eastAsia="Calibri" w:hAnsi="Aharoni" w:cs="Aharoni"/>
          <w:bCs/>
          <w:color w:val="70AD47" w:themeColor="accent6"/>
          <w:sz w:val="36"/>
          <w:szCs w:val="36"/>
        </w:rPr>
      </w:pPr>
      <w:r w:rsidRPr="00110E54">
        <w:rPr>
          <w:rFonts w:ascii="Aharoni" w:eastAsia="Calibri" w:hAnsi="Aharoni" w:cs="Aharoni"/>
          <w:bCs/>
          <w:color w:val="70AD47" w:themeColor="accent6"/>
          <w:sz w:val="36"/>
          <w:szCs w:val="36"/>
        </w:rPr>
        <w:lastRenderedPageBreak/>
        <w:t>11.  Ethical Investment Policy</w:t>
      </w:r>
    </w:p>
    <w:p w14:paraId="0E076B8F" w14:textId="77777777" w:rsidR="00110E54" w:rsidRPr="00110E54" w:rsidRDefault="00110E54" w:rsidP="00110E54">
      <w:pPr>
        <w:spacing w:line="256" w:lineRule="auto"/>
        <w:contextualSpacing/>
        <w:rPr>
          <w:b/>
          <w:bCs/>
          <w:sz w:val="24"/>
          <w:szCs w:val="24"/>
        </w:rPr>
      </w:pPr>
      <w:r w:rsidRPr="00110E54">
        <w:rPr>
          <w:b/>
          <w:bCs/>
          <w:sz w:val="24"/>
          <w:szCs w:val="24"/>
        </w:rPr>
        <w:t>Vision</w:t>
      </w:r>
    </w:p>
    <w:p w14:paraId="4DB603CC" w14:textId="77777777" w:rsidR="00110E54" w:rsidRPr="00110E54" w:rsidRDefault="00110E54" w:rsidP="00110E54">
      <w:pPr>
        <w:spacing w:line="256" w:lineRule="auto"/>
        <w:contextualSpacing/>
      </w:pPr>
    </w:p>
    <w:p w14:paraId="5ABC8173" w14:textId="77777777" w:rsidR="00110E54" w:rsidRPr="00110E54" w:rsidRDefault="00110E54" w:rsidP="00110E54">
      <w:pPr>
        <w:spacing w:line="256" w:lineRule="auto"/>
        <w:contextualSpacing/>
      </w:pPr>
      <w:r w:rsidRPr="00110E54">
        <w:t>Plymouth Marjon University will invest its funds ethically within its Values in order to demonstrate a positive approach to the environment and society whilst securing economic benefit and financial sustainability. The University values are at the heart of everything we do, and they are inspired by our ambitions for the future, encouraging both the ability and the aspiration to improve lives for all. We will challenge our financial partners to manage our funds, on our behalf, in line with our Values.</w:t>
      </w:r>
    </w:p>
    <w:p w14:paraId="0CBEF88A" w14:textId="77777777" w:rsidR="00110E54" w:rsidRPr="00110E54" w:rsidRDefault="00110E54" w:rsidP="00110E54">
      <w:pPr>
        <w:spacing w:line="256" w:lineRule="auto"/>
        <w:contextualSpacing/>
      </w:pPr>
    </w:p>
    <w:p w14:paraId="15517EDB" w14:textId="77777777" w:rsidR="00110E54" w:rsidRPr="00110E54" w:rsidRDefault="00110E54" w:rsidP="00110E54">
      <w:pPr>
        <w:spacing w:line="256" w:lineRule="auto"/>
        <w:contextualSpacing/>
        <w:rPr>
          <w:b/>
          <w:bCs/>
          <w:sz w:val="24"/>
          <w:szCs w:val="24"/>
        </w:rPr>
      </w:pPr>
      <w:r w:rsidRPr="00110E54">
        <w:rPr>
          <w:b/>
          <w:bCs/>
          <w:sz w:val="24"/>
          <w:szCs w:val="24"/>
        </w:rPr>
        <w:t xml:space="preserve">Value </w:t>
      </w:r>
    </w:p>
    <w:p w14:paraId="727C5E4A" w14:textId="77777777" w:rsidR="00110E54" w:rsidRPr="00110E54" w:rsidRDefault="00110E54" w:rsidP="00110E54">
      <w:pPr>
        <w:spacing w:line="256" w:lineRule="auto"/>
        <w:contextualSpacing/>
      </w:pPr>
    </w:p>
    <w:p w14:paraId="283A28B5" w14:textId="77777777" w:rsidR="00110E54" w:rsidRPr="00110E54" w:rsidRDefault="00110E54" w:rsidP="00110E54">
      <w:pPr>
        <w:spacing w:line="256" w:lineRule="auto"/>
        <w:contextualSpacing/>
      </w:pPr>
      <w:r w:rsidRPr="00110E54">
        <w:t>Alignment The University values are at the heart of everything we do, and they are inspired by our ambitions for the future, encouraging both the ability and the aspiration to improve lives for all. We will challenge our financial partners to manage our funds, on our behalf, in line with our Values.</w:t>
      </w:r>
    </w:p>
    <w:p w14:paraId="5A3869EA" w14:textId="77777777" w:rsidR="00110E54" w:rsidRPr="00110E54" w:rsidRDefault="00110E54" w:rsidP="00110E54">
      <w:pPr>
        <w:spacing w:line="256" w:lineRule="auto"/>
        <w:contextualSpacing/>
      </w:pPr>
    </w:p>
    <w:p w14:paraId="41441EC2" w14:textId="77777777" w:rsidR="00110E54" w:rsidRPr="00110E54" w:rsidRDefault="00110E54" w:rsidP="00110E54">
      <w:pPr>
        <w:numPr>
          <w:ilvl w:val="0"/>
          <w:numId w:val="1"/>
        </w:numPr>
        <w:spacing w:line="256" w:lineRule="auto"/>
        <w:contextualSpacing/>
        <w:rPr>
          <w:i/>
          <w:iCs/>
          <w:color w:val="92D050"/>
          <w:sz w:val="32"/>
          <w:szCs w:val="32"/>
        </w:rPr>
      </w:pPr>
      <w:r w:rsidRPr="00110E54">
        <w:rPr>
          <w:i/>
          <w:iCs/>
          <w:color w:val="92D050"/>
          <w:sz w:val="32"/>
          <w:szCs w:val="32"/>
        </w:rPr>
        <w:t>Humanity</w:t>
      </w:r>
      <w:r w:rsidRPr="00110E54">
        <w:rPr>
          <w:color w:val="92D050"/>
          <w:sz w:val="28"/>
          <w:szCs w:val="28"/>
        </w:rPr>
        <w:t xml:space="preserve"> </w:t>
      </w:r>
    </w:p>
    <w:p w14:paraId="6D5CCFC4" w14:textId="77777777" w:rsidR="00110E54" w:rsidRPr="00110E54" w:rsidRDefault="00110E54" w:rsidP="00110E54">
      <w:pPr>
        <w:spacing w:line="256" w:lineRule="auto"/>
        <w:contextualSpacing/>
      </w:pPr>
      <w:r w:rsidRPr="00110E54">
        <w:rPr>
          <w:noProof/>
        </w:rPr>
        <w:drawing>
          <wp:anchor distT="0" distB="0" distL="114300" distR="114300" simplePos="0" relativeHeight="251661312" behindDoc="1" locked="0" layoutInCell="1" allowOverlap="1" wp14:anchorId="07A4A9A9" wp14:editId="530D73BD">
            <wp:simplePos x="0" y="0"/>
            <wp:positionH relativeFrom="column">
              <wp:posOffset>4229100</wp:posOffset>
            </wp:positionH>
            <wp:positionV relativeFrom="paragraph">
              <wp:posOffset>105410</wp:posOffset>
            </wp:positionV>
            <wp:extent cx="2493010" cy="2493010"/>
            <wp:effectExtent l="0" t="0" r="2540" b="2540"/>
            <wp:wrapTight wrapText="bothSides">
              <wp:wrapPolygon edited="0">
                <wp:start x="0" y="0"/>
                <wp:lineTo x="0" y="21457"/>
                <wp:lineTo x="21457" y="21457"/>
                <wp:lineTo x="21457" y="0"/>
                <wp:lineTo x="0" y="0"/>
              </wp:wrapPolygon>
            </wp:wrapTight>
            <wp:docPr id="30" name="Picture 30" descr="Values – shiny plaques or foundation stones? – Team Marjon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 shiny plaques or foundation stones? – Team Marjon Blo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3010" cy="2493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0E54">
        <w:t>We will aim to ensure our investments do not cause harm and where possible create positive opportunities for people.</w:t>
      </w:r>
    </w:p>
    <w:p w14:paraId="1C9B837F" w14:textId="77777777" w:rsidR="00110E54" w:rsidRPr="00110E54" w:rsidRDefault="00110E54" w:rsidP="00110E54">
      <w:pPr>
        <w:numPr>
          <w:ilvl w:val="0"/>
          <w:numId w:val="1"/>
        </w:numPr>
        <w:spacing w:line="256" w:lineRule="auto"/>
        <w:contextualSpacing/>
        <w:rPr>
          <w:i/>
          <w:iCs/>
          <w:color w:val="660033"/>
          <w:sz w:val="32"/>
          <w:szCs w:val="32"/>
        </w:rPr>
      </w:pPr>
      <w:r w:rsidRPr="00110E54">
        <w:rPr>
          <w:i/>
          <w:iCs/>
          <w:color w:val="660033"/>
          <w:sz w:val="32"/>
          <w:szCs w:val="32"/>
        </w:rPr>
        <w:t>Ambition</w:t>
      </w:r>
    </w:p>
    <w:p w14:paraId="15106B31" w14:textId="77777777" w:rsidR="00110E54" w:rsidRPr="00110E54" w:rsidRDefault="00110E54" w:rsidP="00110E54">
      <w:pPr>
        <w:spacing w:line="256" w:lineRule="auto"/>
        <w:contextualSpacing/>
      </w:pPr>
      <w:r w:rsidRPr="00110E54">
        <w:t xml:space="preserve"> Our ambition is to ensure sustainable returns on investment of funds and encourage people to invest responsibly.</w:t>
      </w:r>
    </w:p>
    <w:p w14:paraId="31ECF84A" w14:textId="77777777" w:rsidR="00110E54" w:rsidRPr="00110E54" w:rsidRDefault="00110E54" w:rsidP="00110E54">
      <w:pPr>
        <w:numPr>
          <w:ilvl w:val="0"/>
          <w:numId w:val="1"/>
        </w:numPr>
        <w:spacing w:line="256" w:lineRule="auto"/>
        <w:contextualSpacing/>
        <w:rPr>
          <w:i/>
          <w:iCs/>
          <w:color w:val="009999"/>
          <w:sz w:val="32"/>
          <w:szCs w:val="32"/>
        </w:rPr>
      </w:pPr>
      <w:r w:rsidRPr="00110E54">
        <w:rPr>
          <w:i/>
          <w:iCs/>
          <w:color w:val="009999"/>
          <w:sz w:val="32"/>
          <w:szCs w:val="32"/>
        </w:rPr>
        <w:t>Curiosity</w:t>
      </w:r>
    </w:p>
    <w:p w14:paraId="6AFDFF47" w14:textId="77777777" w:rsidR="00110E54" w:rsidRPr="00110E54" w:rsidRDefault="00110E54" w:rsidP="00110E54">
      <w:pPr>
        <w:spacing w:line="256" w:lineRule="auto"/>
        <w:contextualSpacing/>
      </w:pPr>
      <w:r w:rsidRPr="00110E54">
        <w:t xml:space="preserve"> We will seek out alternative ways of creating sustainable returns as new ethical models of investment arise.</w:t>
      </w:r>
    </w:p>
    <w:p w14:paraId="2D37432D" w14:textId="77777777" w:rsidR="00110E54" w:rsidRPr="00110E54" w:rsidRDefault="00110E54" w:rsidP="00110E54">
      <w:pPr>
        <w:numPr>
          <w:ilvl w:val="0"/>
          <w:numId w:val="1"/>
        </w:numPr>
        <w:spacing w:line="256" w:lineRule="auto"/>
        <w:contextualSpacing/>
        <w:rPr>
          <w:i/>
          <w:iCs/>
          <w:color w:val="0070C0"/>
          <w:sz w:val="32"/>
          <w:szCs w:val="32"/>
        </w:rPr>
      </w:pPr>
      <w:r w:rsidRPr="00110E54">
        <w:rPr>
          <w:i/>
          <w:iCs/>
          <w:color w:val="0070C0"/>
          <w:sz w:val="32"/>
          <w:szCs w:val="32"/>
        </w:rPr>
        <w:t>Independence</w:t>
      </w:r>
    </w:p>
    <w:p w14:paraId="3C18DCE8" w14:textId="77777777" w:rsidR="00110E54" w:rsidRPr="00110E54" w:rsidRDefault="00110E54" w:rsidP="00110E54">
      <w:pPr>
        <w:spacing w:line="256" w:lineRule="auto"/>
        <w:contextualSpacing/>
      </w:pPr>
      <w:r w:rsidRPr="00110E54">
        <w:t xml:space="preserve"> We will ask our fund and bank managers to explore a wider range of ethical investments on our behalf.</w:t>
      </w:r>
    </w:p>
    <w:p w14:paraId="20DF75AB" w14:textId="77777777" w:rsidR="00110E54" w:rsidRPr="00110E54" w:rsidRDefault="00110E54" w:rsidP="00110E54">
      <w:pPr>
        <w:spacing w:line="256" w:lineRule="auto"/>
        <w:contextualSpacing/>
      </w:pPr>
    </w:p>
    <w:p w14:paraId="37B1DC3E" w14:textId="77777777" w:rsidR="00110E54" w:rsidRPr="00110E54" w:rsidRDefault="00110E54" w:rsidP="00110E54">
      <w:pPr>
        <w:spacing w:line="256" w:lineRule="auto"/>
        <w:contextualSpacing/>
        <w:rPr>
          <w:b/>
          <w:bCs/>
        </w:rPr>
      </w:pPr>
    </w:p>
    <w:p w14:paraId="3D5AF610" w14:textId="77777777" w:rsidR="00110E54" w:rsidRPr="00110E54" w:rsidRDefault="00110E54" w:rsidP="00110E54">
      <w:pPr>
        <w:spacing w:line="256" w:lineRule="auto"/>
        <w:contextualSpacing/>
        <w:rPr>
          <w:b/>
          <w:bCs/>
          <w:sz w:val="24"/>
          <w:szCs w:val="24"/>
        </w:rPr>
      </w:pPr>
      <w:r w:rsidRPr="00110E54">
        <w:rPr>
          <w:b/>
          <w:bCs/>
          <w:sz w:val="24"/>
          <w:szCs w:val="24"/>
        </w:rPr>
        <w:t>Strategic Alignment</w:t>
      </w:r>
    </w:p>
    <w:p w14:paraId="659E9ED9" w14:textId="77777777" w:rsidR="00110E54" w:rsidRPr="00110E54" w:rsidRDefault="00110E54" w:rsidP="00110E54">
      <w:pPr>
        <w:spacing w:line="256" w:lineRule="auto"/>
        <w:contextualSpacing/>
      </w:pPr>
    </w:p>
    <w:p w14:paraId="1140DF46" w14:textId="77777777" w:rsidR="00110E54" w:rsidRPr="00110E54" w:rsidRDefault="00110E54" w:rsidP="00110E54">
      <w:pPr>
        <w:spacing w:line="256" w:lineRule="auto"/>
        <w:contextualSpacing/>
      </w:pPr>
      <w:r w:rsidRPr="00110E54">
        <w:t>The Ethical investment strategy is designed to support a range of other strategies by protecting the capital value of the University’s invested funds to aid financial sustainability and resilience. This approach will maximise resources that can then be deployed to support the University operations and growth plans.</w:t>
      </w:r>
    </w:p>
    <w:p w14:paraId="00C23E40" w14:textId="77777777" w:rsidR="00110E54" w:rsidRPr="00110E54" w:rsidRDefault="00110E54" w:rsidP="00110E54">
      <w:pPr>
        <w:spacing w:line="256" w:lineRule="auto"/>
        <w:contextualSpacing/>
      </w:pPr>
    </w:p>
    <w:p w14:paraId="36DACB1B" w14:textId="77777777" w:rsidR="00110E54" w:rsidRPr="00110E54" w:rsidRDefault="00110E54" w:rsidP="00110E54">
      <w:pPr>
        <w:spacing w:line="256" w:lineRule="auto"/>
        <w:contextualSpacing/>
        <w:rPr>
          <w:b/>
          <w:bCs/>
          <w:sz w:val="24"/>
          <w:szCs w:val="24"/>
        </w:rPr>
      </w:pPr>
      <w:r w:rsidRPr="00110E54">
        <w:rPr>
          <w:b/>
          <w:bCs/>
          <w:sz w:val="24"/>
          <w:szCs w:val="24"/>
        </w:rPr>
        <w:t>Strategic Governance</w:t>
      </w:r>
    </w:p>
    <w:p w14:paraId="02AEAAF2" w14:textId="77777777" w:rsidR="00110E54" w:rsidRPr="00110E54" w:rsidRDefault="00110E54" w:rsidP="00110E54">
      <w:pPr>
        <w:spacing w:line="256" w:lineRule="auto"/>
        <w:contextualSpacing/>
      </w:pPr>
    </w:p>
    <w:p w14:paraId="01E0C695" w14:textId="77777777" w:rsidR="00110E54" w:rsidRPr="00110E54" w:rsidRDefault="00110E54" w:rsidP="00110E54">
      <w:pPr>
        <w:spacing w:line="256" w:lineRule="auto"/>
        <w:contextualSpacing/>
      </w:pPr>
      <w:r w:rsidRPr="00110E54">
        <w:t xml:space="preserve">The Board of Governors own the Ethical Investment Strategy, and it is reviewed annually. The Board of Governors delegate the review of the strategy to the Finance and Resources Committee who will from time to time monitor the financial KPIs and report any recommendations to amend the strategy back the Board of Governors. The Finance and Resources Committee will approve appropriate KPIs with the Vice-Chancellor and Director of Finance &amp; IT as part of the annual action plan. The practical operation of investing funds in short and longer-term investments, in line with the strategy, is delegated to the Director of Finance &amp; IT and where material will also require the </w:t>
      </w:r>
      <w:r w:rsidRPr="00110E54">
        <w:lastRenderedPageBreak/>
        <w:t>approval of the Vice-Chancellor but is always reported to Finance &amp; Resources Committee and the Board of Governors. Finance and Resources Committee will approve the process and financial levels of these delegations upon recommendation of the Director of Finance &amp; IT and Vice-Chancellor and this will be reflected in the University Financial Regulations (which are reviewed annually by the Audit Committee for recommendation to the Board of Governors).</w:t>
      </w:r>
    </w:p>
    <w:p w14:paraId="272EEC3E" w14:textId="77777777" w:rsidR="00110E54" w:rsidRPr="00110E54" w:rsidRDefault="00110E54" w:rsidP="00110E54">
      <w:pPr>
        <w:spacing w:line="256" w:lineRule="auto"/>
        <w:contextualSpacing/>
      </w:pPr>
    </w:p>
    <w:p w14:paraId="4E29D425" w14:textId="77777777" w:rsidR="00110E54" w:rsidRPr="00110E54" w:rsidRDefault="00110E54" w:rsidP="00110E54">
      <w:pPr>
        <w:spacing w:line="256" w:lineRule="auto"/>
        <w:contextualSpacing/>
        <w:rPr>
          <w:b/>
          <w:bCs/>
        </w:rPr>
      </w:pPr>
      <w:r w:rsidRPr="00110E54">
        <w:rPr>
          <w:b/>
          <w:bCs/>
          <w:sz w:val="24"/>
          <w:szCs w:val="24"/>
        </w:rPr>
        <w:t xml:space="preserve">Strategic Intent, Implementation and Impact </w:t>
      </w:r>
    </w:p>
    <w:p w14:paraId="35BC6888" w14:textId="77777777" w:rsidR="00110E54" w:rsidRPr="00110E54" w:rsidRDefault="00110E54" w:rsidP="00110E54">
      <w:pPr>
        <w:spacing w:line="256" w:lineRule="auto"/>
        <w:contextualSpacing/>
      </w:pPr>
    </w:p>
    <w:p w14:paraId="18030220" w14:textId="77777777" w:rsidR="00110E54" w:rsidRPr="00110E54" w:rsidRDefault="00110E54" w:rsidP="00110E54">
      <w:pPr>
        <w:spacing w:line="256" w:lineRule="auto"/>
        <w:contextualSpacing/>
      </w:pPr>
      <w:r w:rsidRPr="00110E54">
        <w:t>There are key principles and expectations underpinning the strategy [Intent]. These intentions then need to be actioned [Implementation] and their effectiveness evaluated [Impact]. As such, the strategy is structured by a process of intent, implementation and impact.</w:t>
      </w:r>
    </w:p>
    <w:p w14:paraId="46753B80" w14:textId="77777777" w:rsidR="00110E54" w:rsidRPr="00110E54" w:rsidRDefault="00110E54" w:rsidP="00110E54">
      <w:pPr>
        <w:spacing w:line="256" w:lineRule="auto"/>
        <w:contextualSpacing/>
      </w:pPr>
    </w:p>
    <w:p w14:paraId="1A7867FB" w14:textId="77777777" w:rsidR="00110E54" w:rsidRPr="00110E54" w:rsidRDefault="00110E54" w:rsidP="00110E54">
      <w:pPr>
        <w:numPr>
          <w:ilvl w:val="0"/>
          <w:numId w:val="2"/>
        </w:numPr>
        <w:pBdr>
          <w:top w:val="single" w:sz="4" w:space="10" w:color="4472C4" w:themeColor="accent1"/>
          <w:bottom w:val="single" w:sz="4" w:space="10" w:color="4472C4" w:themeColor="accent1"/>
        </w:pBdr>
        <w:spacing w:before="360" w:after="360"/>
        <w:ind w:right="864"/>
        <w:jc w:val="center"/>
        <w:rPr>
          <w:color w:val="70AD47" w:themeColor="accent6"/>
          <w:sz w:val="36"/>
          <w:szCs w:val="36"/>
        </w:rPr>
      </w:pPr>
      <w:r w:rsidRPr="00110E54">
        <w:rPr>
          <w:sz w:val="36"/>
          <w:szCs w:val="36"/>
        </w:rPr>
        <w:t>Intent</w:t>
      </w:r>
    </w:p>
    <w:p w14:paraId="1839D0CB" w14:textId="77777777" w:rsidR="00110E54" w:rsidRPr="00110E54" w:rsidRDefault="00110E54" w:rsidP="00110E54">
      <w:pPr>
        <w:spacing w:line="256" w:lineRule="auto"/>
        <w:contextualSpacing/>
      </w:pPr>
    </w:p>
    <w:tbl>
      <w:tblPr>
        <w:tblStyle w:val="TableGrid"/>
        <w:tblW w:w="0" w:type="auto"/>
        <w:tblLook w:val="04A0" w:firstRow="1" w:lastRow="0" w:firstColumn="1" w:lastColumn="0" w:noHBand="0" w:noVBand="1"/>
      </w:tblPr>
      <w:tblGrid>
        <w:gridCol w:w="1199"/>
        <w:gridCol w:w="7817"/>
      </w:tblGrid>
      <w:tr w:rsidR="00110E54" w:rsidRPr="00110E54" w14:paraId="24454728" w14:textId="77777777" w:rsidTr="00DB3D4D">
        <w:tc>
          <w:tcPr>
            <w:tcW w:w="1271" w:type="dxa"/>
          </w:tcPr>
          <w:p w14:paraId="7D0BAF98" w14:textId="77777777" w:rsidR="00110E54" w:rsidRPr="00110E54" w:rsidRDefault="00110E54" w:rsidP="00110E54">
            <w:pPr>
              <w:spacing w:line="256" w:lineRule="auto"/>
              <w:contextualSpacing/>
              <w:rPr>
                <w:b/>
                <w:bCs/>
              </w:rPr>
            </w:pPr>
            <w:r w:rsidRPr="00110E54">
              <w:rPr>
                <w:b/>
                <w:bCs/>
              </w:rPr>
              <w:t>1.1</w:t>
            </w:r>
          </w:p>
        </w:tc>
        <w:tc>
          <w:tcPr>
            <w:tcW w:w="8465" w:type="dxa"/>
          </w:tcPr>
          <w:p w14:paraId="445C4EBB" w14:textId="77777777" w:rsidR="00110E54" w:rsidRPr="00110E54" w:rsidRDefault="00110E54" w:rsidP="00110E54">
            <w:pPr>
              <w:spacing w:line="256" w:lineRule="auto"/>
              <w:contextualSpacing/>
            </w:pPr>
            <w:r w:rsidRPr="00110E54">
              <w:t>The University has a responsibility to make cash work to deliver financial returns to improve financial sustainability and resilience, although not at any cost. This is taken to mean capital growth of longer-term funds and short-term cash all with a medium risk approach. Cash growth can arise from either dividend generated from longer-term capital investment or from cash deposits being used responsibly and ethically in the short-term. Furthermore, investment decisions should also have due regard to the repayment of debt as an alternative option to secure value for money.</w:t>
            </w:r>
          </w:p>
        </w:tc>
      </w:tr>
      <w:tr w:rsidR="00110E54" w:rsidRPr="00110E54" w14:paraId="34E4A783" w14:textId="77777777" w:rsidTr="00DB3D4D">
        <w:tc>
          <w:tcPr>
            <w:tcW w:w="1271" w:type="dxa"/>
          </w:tcPr>
          <w:p w14:paraId="10C7A09A" w14:textId="77777777" w:rsidR="00110E54" w:rsidRPr="00110E54" w:rsidRDefault="00110E54" w:rsidP="00110E54">
            <w:pPr>
              <w:spacing w:line="256" w:lineRule="auto"/>
              <w:contextualSpacing/>
              <w:rPr>
                <w:b/>
                <w:bCs/>
              </w:rPr>
            </w:pPr>
            <w:r w:rsidRPr="00110E54">
              <w:rPr>
                <w:b/>
                <w:bCs/>
              </w:rPr>
              <w:t>1.2</w:t>
            </w:r>
          </w:p>
        </w:tc>
        <w:tc>
          <w:tcPr>
            <w:tcW w:w="8465" w:type="dxa"/>
          </w:tcPr>
          <w:p w14:paraId="5568E9F8" w14:textId="77777777" w:rsidR="00110E54" w:rsidRPr="00110E54" w:rsidRDefault="00110E54" w:rsidP="00110E54">
            <w:pPr>
              <w:spacing w:line="256" w:lineRule="auto"/>
              <w:contextualSpacing/>
            </w:pPr>
            <w:r w:rsidRPr="00110E54">
              <w:t xml:space="preserve">In operating within the University Values the Board of Governors are minded </w:t>
            </w:r>
            <w:proofErr w:type="gramStart"/>
            <w:r w:rsidRPr="00110E54">
              <w:t>to promote</w:t>
            </w:r>
            <w:proofErr w:type="gramEnd"/>
            <w:r w:rsidRPr="00110E54">
              <w:t xml:space="preserve"> the use of funds for investment, to not only generate financial returns, but to target opportunities to have positive outcomes on the environment and humanity.</w:t>
            </w:r>
          </w:p>
        </w:tc>
      </w:tr>
      <w:tr w:rsidR="00110E54" w:rsidRPr="00110E54" w14:paraId="4335745A" w14:textId="77777777" w:rsidTr="00DB3D4D">
        <w:tc>
          <w:tcPr>
            <w:tcW w:w="1271" w:type="dxa"/>
          </w:tcPr>
          <w:p w14:paraId="42FB0CF4" w14:textId="77777777" w:rsidR="00110E54" w:rsidRPr="00110E54" w:rsidRDefault="00110E54" w:rsidP="00110E54">
            <w:pPr>
              <w:spacing w:line="256" w:lineRule="auto"/>
              <w:contextualSpacing/>
              <w:rPr>
                <w:b/>
                <w:bCs/>
              </w:rPr>
            </w:pPr>
            <w:r w:rsidRPr="00110E54">
              <w:rPr>
                <w:b/>
                <w:bCs/>
              </w:rPr>
              <w:t>1.3</w:t>
            </w:r>
          </w:p>
        </w:tc>
        <w:tc>
          <w:tcPr>
            <w:tcW w:w="8465" w:type="dxa"/>
          </w:tcPr>
          <w:p w14:paraId="342CC79B" w14:textId="77777777" w:rsidR="00110E54" w:rsidRPr="00110E54" w:rsidRDefault="00110E54" w:rsidP="00110E54">
            <w:pPr>
              <w:spacing w:line="256" w:lineRule="auto"/>
              <w:contextualSpacing/>
            </w:pPr>
            <w:r w:rsidRPr="00110E54">
              <w:t xml:space="preserve">It is the intention of the University Board of Governors to ensure that funds are invested for </w:t>
            </w:r>
          </w:p>
          <w:p w14:paraId="34F24C6B" w14:textId="77777777" w:rsidR="00110E54" w:rsidRPr="00110E54" w:rsidRDefault="00110E54" w:rsidP="00110E54">
            <w:pPr>
              <w:spacing w:line="256" w:lineRule="auto"/>
              <w:contextualSpacing/>
            </w:pPr>
            <w:r w:rsidRPr="00110E54">
              <w:t xml:space="preserve">sustainable financial returns with due regard for the Church of England Ethical investment </w:t>
            </w:r>
          </w:p>
          <w:p w14:paraId="4E6A66CF" w14:textId="77777777" w:rsidR="00110E54" w:rsidRPr="00110E54" w:rsidRDefault="00110E54" w:rsidP="00110E54">
            <w:pPr>
              <w:spacing w:line="256" w:lineRule="auto"/>
              <w:contextualSpacing/>
            </w:pPr>
            <w:r w:rsidRPr="00110E54">
              <w:t>Advisory Group and must exclude or divest from the following activities:</w:t>
            </w:r>
          </w:p>
          <w:p w14:paraId="62F6E70B" w14:textId="77777777" w:rsidR="00110E54" w:rsidRPr="00110E54" w:rsidRDefault="00110E54" w:rsidP="00110E54">
            <w:pPr>
              <w:spacing w:line="256" w:lineRule="auto"/>
              <w:contextualSpacing/>
            </w:pPr>
            <w:r w:rsidRPr="00110E54">
              <w:t xml:space="preserve">• Direct holdings in alcohol or tobacco </w:t>
            </w:r>
          </w:p>
          <w:p w14:paraId="350A74A7" w14:textId="77777777" w:rsidR="00110E54" w:rsidRPr="00110E54" w:rsidRDefault="00110E54" w:rsidP="00110E54">
            <w:pPr>
              <w:spacing w:line="256" w:lineRule="auto"/>
              <w:contextualSpacing/>
            </w:pPr>
            <w:r w:rsidRPr="00110E54">
              <w:t>• Gambling</w:t>
            </w:r>
          </w:p>
          <w:p w14:paraId="6D29F478" w14:textId="77777777" w:rsidR="00110E54" w:rsidRPr="00110E54" w:rsidRDefault="00110E54" w:rsidP="00110E54">
            <w:pPr>
              <w:spacing w:line="256" w:lineRule="auto"/>
              <w:contextualSpacing/>
            </w:pPr>
            <w:r w:rsidRPr="00110E54">
              <w:t>• Indiscriminate weaponry, conventional weaponry non-military rearms</w:t>
            </w:r>
          </w:p>
          <w:p w14:paraId="7D949C92" w14:textId="77777777" w:rsidR="00110E54" w:rsidRPr="00110E54" w:rsidRDefault="00110E54" w:rsidP="00110E54">
            <w:pPr>
              <w:spacing w:line="256" w:lineRule="auto"/>
              <w:contextualSpacing/>
            </w:pPr>
            <w:r w:rsidRPr="00110E54">
              <w:t>• Pornography and sexual exploitation</w:t>
            </w:r>
          </w:p>
          <w:p w14:paraId="49478C58" w14:textId="77777777" w:rsidR="00110E54" w:rsidRPr="00110E54" w:rsidRDefault="00110E54" w:rsidP="00110E54">
            <w:pPr>
              <w:spacing w:line="256" w:lineRule="auto"/>
              <w:contextualSpacing/>
            </w:pPr>
            <w:r w:rsidRPr="00110E54">
              <w:t>• Organisations engaged in high interest rate lending</w:t>
            </w:r>
          </w:p>
          <w:p w14:paraId="58DFD6D2" w14:textId="77777777" w:rsidR="00110E54" w:rsidRPr="00110E54" w:rsidRDefault="00110E54" w:rsidP="00110E54">
            <w:pPr>
              <w:spacing w:line="256" w:lineRule="auto"/>
              <w:contextualSpacing/>
            </w:pPr>
            <w:r w:rsidRPr="00110E54">
              <w:t>• Human embryonic cloning</w:t>
            </w:r>
          </w:p>
          <w:p w14:paraId="1E4121BD" w14:textId="77777777" w:rsidR="00110E54" w:rsidRPr="00110E54" w:rsidRDefault="00110E54" w:rsidP="00110E54">
            <w:pPr>
              <w:spacing w:line="256" w:lineRule="auto"/>
              <w:contextualSpacing/>
            </w:pPr>
            <w:r w:rsidRPr="00110E54">
              <w:t xml:space="preserve">• Extraction of thermal coal and production of oil from oil sands, subject to </w:t>
            </w:r>
          </w:p>
          <w:p w14:paraId="43B81545" w14:textId="77777777" w:rsidR="00110E54" w:rsidRPr="00110E54" w:rsidRDefault="00110E54" w:rsidP="00110E54">
            <w:pPr>
              <w:spacing w:line="256" w:lineRule="auto"/>
              <w:contextualSpacing/>
            </w:pPr>
            <w:r w:rsidRPr="00110E54">
              <w:t>revenue thresholds</w:t>
            </w:r>
          </w:p>
          <w:p w14:paraId="0814C818" w14:textId="77777777" w:rsidR="00110E54" w:rsidRPr="00110E54" w:rsidRDefault="00110E54" w:rsidP="00110E54">
            <w:pPr>
              <w:spacing w:line="256" w:lineRule="auto"/>
              <w:contextualSpacing/>
            </w:pPr>
            <w:r w:rsidRPr="00110E54">
              <w:t>• Modern slavery and human trafficking</w:t>
            </w:r>
          </w:p>
          <w:p w14:paraId="204CF3E6" w14:textId="77777777" w:rsidR="00110E54" w:rsidRPr="00110E54" w:rsidRDefault="00110E54" w:rsidP="00110E54">
            <w:pPr>
              <w:spacing w:line="256" w:lineRule="auto"/>
              <w:contextualSpacing/>
            </w:pPr>
            <w:r w:rsidRPr="00110E54">
              <w:t>• Fossil Fuels</w:t>
            </w:r>
          </w:p>
        </w:tc>
      </w:tr>
      <w:tr w:rsidR="00110E54" w:rsidRPr="00110E54" w14:paraId="54C46F4F" w14:textId="77777777" w:rsidTr="00DB3D4D">
        <w:tc>
          <w:tcPr>
            <w:tcW w:w="1271" w:type="dxa"/>
          </w:tcPr>
          <w:p w14:paraId="74BD8A91" w14:textId="77777777" w:rsidR="00110E54" w:rsidRPr="00110E54" w:rsidRDefault="00110E54" w:rsidP="00110E54">
            <w:pPr>
              <w:spacing w:line="256" w:lineRule="auto"/>
              <w:contextualSpacing/>
              <w:rPr>
                <w:b/>
                <w:bCs/>
              </w:rPr>
            </w:pPr>
            <w:r w:rsidRPr="00110E54">
              <w:rPr>
                <w:b/>
                <w:bCs/>
              </w:rPr>
              <w:t>1.4</w:t>
            </w:r>
          </w:p>
        </w:tc>
        <w:tc>
          <w:tcPr>
            <w:tcW w:w="8465" w:type="dxa"/>
          </w:tcPr>
          <w:p w14:paraId="2679CFC4" w14:textId="77777777" w:rsidR="00110E54" w:rsidRPr="00110E54" w:rsidRDefault="00110E54" w:rsidP="00110E54">
            <w:pPr>
              <w:spacing w:line="256" w:lineRule="auto"/>
              <w:contextualSpacing/>
            </w:pPr>
            <w:r w:rsidRPr="00110E54">
              <w:t xml:space="preserve">The University recognises there need to be financial safeguards to reduce the exposure to </w:t>
            </w:r>
          </w:p>
          <w:p w14:paraId="2A246C0B" w14:textId="77777777" w:rsidR="00110E54" w:rsidRPr="00110E54" w:rsidRDefault="00110E54" w:rsidP="00110E54">
            <w:pPr>
              <w:spacing w:line="256" w:lineRule="auto"/>
              <w:contextualSpacing/>
            </w:pPr>
            <w:r w:rsidRPr="00110E54">
              <w:t>risk of losses by ensuring the following parameters are considered long term investments:</w:t>
            </w:r>
          </w:p>
          <w:p w14:paraId="5251B3AB" w14:textId="77777777" w:rsidR="00110E54" w:rsidRPr="00110E54" w:rsidRDefault="00110E54" w:rsidP="00110E54">
            <w:pPr>
              <w:spacing w:line="256" w:lineRule="auto"/>
              <w:contextualSpacing/>
            </w:pPr>
            <w:r w:rsidRPr="00110E54">
              <w:lastRenderedPageBreak/>
              <w:t>• medium risk profile</w:t>
            </w:r>
          </w:p>
          <w:p w14:paraId="23668083" w14:textId="77777777" w:rsidR="00110E54" w:rsidRPr="00110E54" w:rsidRDefault="00110E54" w:rsidP="00110E54">
            <w:pPr>
              <w:spacing w:line="256" w:lineRule="auto"/>
              <w:contextualSpacing/>
            </w:pPr>
            <w:r w:rsidRPr="00110E54">
              <w:t>• capital and cash growth</w:t>
            </w:r>
          </w:p>
          <w:p w14:paraId="2E5CEFD1" w14:textId="77777777" w:rsidR="00110E54" w:rsidRPr="00110E54" w:rsidRDefault="00110E54" w:rsidP="00110E54">
            <w:pPr>
              <w:spacing w:line="256" w:lineRule="auto"/>
              <w:contextualSpacing/>
            </w:pPr>
            <w:r w:rsidRPr="00110E54">
              <w:t>• wide portfolio range</w:t>
            </w:r>
          </w:p>
          <w:p w14:paraId="3E68F0AE" w14:textId="77777777" w:rsidR="00110E54" w:rsidRPr="00110E54" w:rsidRDefault="00110E54" w:rsidP="00110E54">
            <w:pPr>
              <w:spacing w:line="256" w:lineRule="auto"/>
              <w:contextualSpacing/>
            </w:pPr>
            <w:r w:rsidRPr="00110E54">
              <w:t>• no cap on low-risk investments</w:t>
            </w:r>
          </w:p>
          <w:p w14:paraId="5AE60F30" w14:textId="77777777" w:rsidR="00110E54" w:rsidRPr="00110E54" w:rsidRDefault="00110E54" w:rsidP="00110E54">
            <w:pPr>
              <w:spacing w:line="256" w:lineRule="auto"/>
              <w:contextualSpacing/>
            </w:pPr>
            <w:r w:rsidRPr="00110E54">
              <w:t>• 5% cap on high-risk investments</w:t>
            </w:r>
          </w:p>
          <w:p w14:paraId="46E18552" w14:textId="77777777" w:rsidR="00110E54" w:rsidRPr="00110E54" w:rsidRDefault="00110E54" w:rsidP="00110E54">
            <w:pPr>
              <w:spacing w:line="256" w:lineRule="auto"/>
              <w:contextualSpacing/>
            </w:pPr>
            <w:r w:rsidRPr="00110E54">
              <w:t>• 10% max in any one stock</w:t>
            </w:r>
          </w:p>
        </w:tc>
      </w:tr>
      <w:tr w:rsidR="00110E54" w:rsidRPr="00110E54" w14:paraId="74A37481" w14:textId="77777777" w:rsidTr="00DB3D4D">
        <w:tc>
          <w:tcPr>
            <w:tcW w:w="1271" w:type="dxa"/>
          </w:tcPr>
          <w:p w14:paraId="0EEEFF58" w14:textId="77777777" w:rsidR="00110E54" w:rsidRPr="00110E54" w:rsidRDefault="00110E54" w:rsidP="00110E54">
            <w:pPr>
              <w:spacing w:line="256" w:lineRule="auto"/>
              <w:contextualSpacing/>
              <w:rPr>
                <w:b/>
                <w:bCs/>
              </w:rPr>
            </w:pPr>
            <w:r w:rsidRPr="00110E54">
              <w:rPr>
                <w:b/>
                <w:bCs/>
              </w:rPr>
              <w:lastRenderedPageBreak/>
              <w:t>1.5</w:t>
            </w:r>
          </w:p>
        </w:tc>
        <w:tc>
          <w:tcPr>
            <w:tcW w:w="8465" w:type="dxa"/>
          </w:tcPr>
          <w:p w14:paraId="01C69E0D" w14:textId="77777777" w:rsidR="00110E54" w:rsidRPr="00110E54" w:rsidRDefault="00110E54" w:rsidP="00110E54">
            <w:pPr>
              <w:spacing w:line="256" w:lineRule="auto"/>
              <w:contextualSpacing/>
            </w:pPr>
            <w:r w:rsidRPr="00110E54">
              <w:t xml:space="preserve">The University will invest short-term cash deposits in an appropriate financial instrument to </w:t>
            </w:r>
          </w:p>
          <w:p w14:paraId="3BAA0C59" w14:textId="77777777" w:rsidR="00110E54" w:rsidRPr="00110E54" w:rsidRDefault="00110E54" w:rsidP="00110E54">
            <w:pPr>
              <w:spacing w:line="256" w:lineRule="auto"/>
              <w:contextualSpacing/>
            </w:pPr>
            <w:r w:rsidRPr="00110E54">
              <w:t>secure financial returns whilst safeguarding the funds invested with due regard to:</w:t>
            </w:r>
          </w:p>
          <w:p w14:paraId="05A891F2" w14:textId="77777777" w:rsidR="00110E54" w:rsidRPr="00110E54" w:rsidRDefault="00110E54" w:rsidP="00110E54">
            <w:pPr>
              <w:spacing w:line="256" w:lineRule="auto"/>
              <w:contextualSpacing/>
            </w:pPr>
            <w:r w:rsidRPr="00110E54">
              <w:t>• appropriate level of minimum cash retained in the bank account</w:t>
            </w:r>
          </w:p>
          <w:p w14:paraId="2EF3B2B4" w14:textId="77777777" w:rsidR="00110E54" w:rsidRPr="00110E54" w:rsidRDefault="00110E54" w:rsidP="00110E54">
            <w:pPr>
              <w:spacing w:line="256" w:lineRule="auto"/>
              <w:contextualSpacing/>
            </w:pPr>
            <w:r w:rsidRPr="00110E54">
              <w:t xml:space="preserve">• liquidity – the ability to get cash back at short notice as needed to avoid overdraft </w:t>
            </w:r>
          </w:p>
          <w:p w14:paraId="561B694C" w14:textId="77777777" w:rsidR="00110E54" w:rsidRPr="00110E54" w:rsidRDefault="00110E54" w:rsidP="00110E54">
            <w:pPr>
              <w:spacing w:line="256" w:lineRule="auto"/>
              <w:contextualSpacing/>
            </w:pPr>
            <w:r w:rsidRPr="00110E54">
              <w:t>and finance costs in year</w:t>
            </w:r>
          </w:p>
        </w:tc>
      </w:tr>
      <w:tr w:rsidR="00110E54" w:rsidRPr="00110E54" w14:paraId="65EB6095" w14:textId="77777777" w:rsidTr="00DB3D4D">
        <w:tc>
          <w:tcPr>
            <w:tcW w:w="1271" w:type="dxa"/>
          </w:tcPr>
          <w:p w14:paraId="3DB96848" w14:textId="77777777" w:rsidR="00110E54" w:rsidRPr="00110E54" w:rsidRDefault="00110E54" w:rsidP="00110E54">
            <w:pPr>
              <w:spacing w:line="256" w:lineRule="auto"/>
              <w:contextualSpacing/>
              <w:rPr>
                <w:b/>
                <w:bCs/>
              </w:rPr>
            </w:pPr>
            <w:r w:rsidRPr="00110E54">
              <w:rPr>
                <w:b/>
                <w:bCs/>
              </w:rPr>
              <w:t>1.6</w:t>
            </w:r>
          </w:p>
        </w:tc>
        <w:tc>
          <w:tcPr>
            <w:tcW w:w="8465" w:type="dxa"/>
          </w:tcPr>
          <w:p w14:paraId="0CE26FE5" w14:textId="77777777" w:rsidR="00110E54" w:rsidRPr="00110E54" w:rsidRDefault="00110E54" w:rsidP="00110E54">
            <w:pPr>
              <w:tabs>
                <w:tab w:val="left" w:pos="2106"/>
              </w:tabs>
              <w:spacing w:line="256" w:lineRule="auto"/>
              <w:contextualSpacing/>
            </w:pPr>
            <w:r w:rsidRPr="00110E54">
              <w:t>The University ensures it does not become an outlier in relation to its ethical position relative to the rest of the Higher Education Sector.</w:t>
            </w:r>
          </w:p>
        </w:tc>
      </w:tr>
      <w:tr w:rsidR="00110E54" w:rsidRPr="00110E54" w14:paraId="7EADD211" w14:textId="77777777" w:rsidTr="00DB3D4D">
        <w:tc>
          <w:tcPr>
            <w:tcW w:w="1271" w:type="dxa"/>
          </w:tcPr>
          <w:p w14:paraId="11E51D68" w14:textId="77777777" w:rsidR="00110E54" w:rsidRPr="00110E54" w:rsidRDefault="00110E54" w:rsidP="00110E54">
            <w:pPr>
              <w:spacing w:line="256" w:lineRule="auto"/>
              <w:contextualSpacing/>
              <w:rPr>
                <w:b/>
                <w:bCs/>
              </w:rPr>
            </w:pPr>
            <w:r w:rsidRPr="00110E54">
              <w:rPr>
                <w:b/>
                <w:bCs/>
              </w:rPr>
              <w:t>1.7</w:t>
            </w:r>
          </w:p>
        </w:tc>
        <w:tc>
          <w:tcPr>
            <w:tcW w:w="8465" w:type="dxa"/>
          </w:tcPr>
          <w:p w14:paraId="1DA5DA20" w14:textId="77777777" w:rsidR="00110E54" w:rsidRPr="00110E54" w:rsidRDefault="00110E54" w:rsidP="00110E54">
            <w:pPr>
              <w:spacing w:line="256" w:lineRule="auto"/>
              <w:contextualSpacing/>
            </w:pPr>
            <w:r w:rsidRPr="00110E54">
              <w:t>The University will have regard for compliance with appropriate regulatory requirements.</w:t>
            </w:r>
          </w:p>
        </w:tc>
      </w:tr>
    </w:tbl>
    <w:p w14:paraId="6D60CB36" w14:textId="77777777" w:rsidR="00110E54" w:rsidRPr="00110E54" w:rsidRDefault="00110E54" w:rsidP="00110E54">
      <w:pPr>
        <w:spacing w:line="256" w:lineRule="auto"/>
        <w:contextualSpacing/>
      </w:pPr>
    </w:p>
    <w:p w14:paraId="3560CC55" w14:textId="77777777" w:rsidR="00110E54" w:rsidRPr="00110E54" w:rsidRDefault="00110E54" w:rsidP="00110E54">
      <w:pPr>
        <w:numPr>
          <w:ilvl w:val="0"/>
          <w:numId w:val="2"/>
        </w:numPr>
        <w:pBdr>
          <w:top w:val="single" w:sz="4" w:space="10" w:color="4472C4" w:themeColor="accent1"/>
          <w:bottom w:val="single" w:sz="4" w:space="10" w:color="4472C4" w:themeColor="accent1"/>
        </w:pBdr>
        <w:spacing w:before="360" w:after="360"/>
        <w:ind w:right="864"/>
        <w:jc w:val="center"/>
        <w:rPr>
          <w:b/>
          <w:bCs/>
          <w:color w:val="4472C4" w:themeColor="accent1"/>
          <w:sz w:val="72"/>
          <w:szCs w:val="72"/>
        </w:rPr>
      </w:pPr>
      <w:r w:rsidRPr="00110E54">
        <w:rPr>
          <w:b/>
          <w:bCs/>
          <w:sz w:val="28"/>
          <w:szCs w:val="28"/>
        </w:rPr>
        <w:t xml:space="preserve">Implementation </w:t>
      </w:r>
    </w:p>
    <w:p w14:paraId="5D8B9A24" w14:textId="77777777" w:rsidR="00110E54" w:rsidRPr="00110E54" w:rsidRDefault="00110E54" w:rsidP="00110E54">
      <w:r w:rsidRPr="00110E54">
        <w:t>Pivotal to implementation is the appreciation and integration of all University strategies, plans and processes. Specific strategies and policies include:</w:t>
      </w:r>
    </w:p>
    <w:p w14:paraId="4FA538EF" w14:textId="77777777" w:rsidR="00110E54" w:rsidRPr="00110E54" w:rsidRDefault="00110E54" w:rsidP="00110E54">
      <w:pPr>
        <w:numPr>
          <w:ilvl w:val="0"/>
          <w:numId w:val="3"/>
        </w:numPr>
        <w:contextualSpacing/>
      </w:pPr>
      <w:r w:rsidRPr="00110E54">
        <w:t xml:space="preserve">Marjon Growth Plan </w:t>
      </w:r>
    </w:p>
    <w:p w14:paraId="10860B35" w14:textId="77777777" w:rsidR="00110E54" w:rsidRPr="00110E54" w:rsidRDefault="00110E54" w:rsidP="00110E54">
      <w:pPr>
        <w:numPr>
          <w:ilvl w:val="0"/>
          <w:numId w:val="3"/>
        </w:numPr>
        <w:contextualSpacing/>
      </w:pPr>
      <w:r w:rsidRPr="00110E54">
        <w:t>The Financial Strategy</w:t>
      </w:r>
    </w:p>
    <w:p w14:paraId="0168B6B1" w14:textId="77777777" w:rsidR="00110E54" w:rsidRPr="00110E54" w:rsidRDefault="00110E54" w:rsidP="00110E54">
      <w:pPr>
        <w:numPr>
          <w:ilvl w:val="0"/>
          <w:numId w:val="3"/>
        </w:numPr>
        <w:contextualSpacing/>
      </w:pPr>
      <w:r w:rsidRPr="00110E54">
        <w:t>The Procurement Plan</w:t>
      </w:r>
    </w:p>
    <w:p w14:paraId="29354DE3" w14:textId="77777777" w:rsidR="00110E54" w:rsidRPr="00110E54" w:rsidRDefault="00110E54" w:rsidP="00110E54">
      <w:pPr>
        <w:numPr>
          <w:ilvl w:val="0"/>
          <w:numId w:val="3"/>
        </w:numPr>
        <w:contextualSpacing/>
      </w:pPr>
      <w:r w:rsidRPr="00110E54">
        <w:t>The Capital Plan</w:t>
      </w:r>
    </w:p>
    <w:p w14:paraId="7CF9D009" w14:textId="77777777" w:rsidR="00110E54" w:rsidRPr="00110E54" w:rsidRDefault="00110E54" w:rsidP="00110E54">
      <w:pPr>
        <w:numPr>
          <w:ilvl w:val="0"/>
          <w:numId w:val="3"/>
        </w:numPr>
        <w:contextualSpacing/>
      </w:pPr>
      <w:r w:rsidRPr="00110E54">
        <w:t xml:space="preserve">Financial Regulations </w:t>
      </w:r>
    </w:p>
    <w:p w14:paraId="16AED50F" w14:textId="77777777" w:rsidR="00110E54" w:rsidRPr="00110E54" w:rsidRDefault="00110E54" w:rsidP="00110E54">
      <w:pPr>
        <w:numPr>
          <w:ilvl w:val="0"/>
          <w:numId w:val="3"/>
        </w:numPr>
        <w:contextualSpacing/>
      </w:pPr>
      <w:r w:rsidRPr="00110E54">
        <w:t xml:space="preserve">Strategic Risk Register </w:t>
      </w:r>
    </w:p>
    <w:p w14:paraId="4C304BFB" w14:textId="77777777" w:rsidR="00110E54" w:rsidRPr="00110E54" w:rsidRDefault="00110E54" w:rsidP="00110E54">
      <w:r w:rsidRPr="00110E54">
        <w:t xml:space="preserve">To achieve the intent underpinning the Ethical Investment Strategy there are </w:t>
      </w:r>
      <w:proofErr w:type="gramStart"/>
      <w:r w:rsidRPr="00110E54">
        <w:t>a number of</w:t>
      </w:r>
      <w:proofErr w:type="gramEnd"/>
      <w:r w:rsidRPr="00110E54">
        <w:t xml:space="preserve"> expectations and requirements for implementation:</w:t>
      </w:r>
    </w:p>
    <w:tbl>
      <w:tblPr>
        <w:tblStyle w:val="TableGrid"/>
        <w:tblW w:w="0" w:type="auto"/>
        <w:tblLook w:val="04A0" w:firstRow="1" w:lastRow="0" w:firstColumn="1" w:lastColumn="0" w:noHBand="0" w:noVBand="1"/>
      </w:tblPr>
      <w:tblGrid>
        <w:gridCol w:w="954"/>
        <w:gridCol w:w="8062"/>
      </w:tblGrid>
      <w:tr w:rsidR="00110E54" w:rsidRPr="00110E54" w14:paraId="6B67928B" w14:textId="77777777" w:rsidTr="00DB3D4D">
        <w:tc>
          <w:tcPr>
            <w:tcW w:w="9736" w:type="dxa"/>
            <w:gridSpan w:val="2"/>
            <w:shd w:val="clear" w:color="auto" w:fill="E2EFD9" w:themeFill="accent6" w:themeFillTint="33"/>
          </w:tcPr>
          <w:p w14:paraId="73DFCA7A" w14:textId="77777777" w:rsidR="00110E54" w:rsidRPr="00110E54" w:rsidRDefault="00110E54" w:rsidP="00110E54">
            <w:pPr>
              <w:rPr>
                <w:b/>
                <w:bCs/>
                <w:sz w:val="24"/>
                <w:szCs w:val="24"/>
              </w:rPr>
            </w:pPr>
            <w:r w:rsidRPr="00110E54">
              <w:rPr>
                <w:b/>
                <w:bCs/>
                <w:sz w:val="24"/>
                <w:szCs w:val="24"/>
              </w:rPr>
              <w:t>Expectation/Requirement</w:t>
            </w:r>
          </w:p>
        </w:tc>
      </w:tr>
      <w:tr w:rsidR="00110E54" w:rsidRPr="00110E54" w14:paraId="0FC3492C" w14:textId="77777777" w:rsidTr="00DB3D4D">
        <w:tc>
          <w:tcPr>
            <w:tcW w:w="988" w:type="dxa"/>
          </w:tcPr>
          <w:p w14:paraId="7F6DD1CF" w14:textId="77777777" w:rsidR="00110E54" w:rsidRPr="00110E54" w:rsidRDefault="00110E54" w:rsidP="00110E54">
            <w:pPr>
              <w:rPr>
                <w:b/>
                <w:bCs/>
              </w:rPr>
            </w:pPr>
            <w:r w:rsidRPr="00110E54">
              <w:rPr>
                <w:b/>
                <w:bCs/>
              </w:rPr>
              <w:t>2.1</w:t>
            </w:r>
          </w:p>
        </w:tc>
        <w:tc>
          <w:tcPr>
            <w:tcW w:w="8748" w:type="dxa"/>
          </w:tcPr>
          <w:p w14:paraId="3316E105" w14:textId="77777777" w:rsidR="00110E54" w:rsidRPr="00110E54" w:rsidRDefault="00110E54" w:rsidP="00110E54">
            <w:r w:rsidRPr="00110E54">
              <w:t>The Ethical Investment Strategy is reviewed by Finance and Resources annually</w:t>
            </w:r>
          </w:p>
        </w:tc>
      </w:tr>
      <w:tr w:rsidR="00110E54" w:rsidRPr="00110E54" w14:paraId="3B80C862" w14:textId="77777777" w:rsidTr="00DB3D4D">
        <w:tc>
          <w:tcPr>
            <w:tcW w:w="988" w:type="dxa"/>
          </w:tcPr>
          <w:p w14:paraId="51DAD3FB" w14:textId="77777777" w:rsidR="00110E54" w:rsidRPr="00110E54" w:rsidRDefault="00110E54" w:rsidP="00110E54">
            <w:pPr>
              <w:rPr>
                <w:b/>
                <w:bCs/>
              </w:rPr>
            </w:pPr>
            <w:r w:rsidRPr="00110E54">
              <w:rPr>
                <w:b/>
                <w:bCs/>
              </w:rPr>
              <w:t>2.2</w:t>
            </w:r>
          </w:p>
        </w:tc>
        <w:tc>
          <w:tcPr>
            <w:tcW w:w="8748" w:type="dxa"/>
          </w:tcPr>
          <w:p w14:paraId="53032A76" w14:textId="77777777" w:rsidR="00110E54" w:rsidRPr="00110E54" w:rsidRDefault="00110E54" w:rsidP="00110E54">
            <w:r w:rsidRPr="00110E54">
              <w:t>Marjon Growth Plan and the Capital Plan Financial. Capital growth is maintained to help deliver resources to meet the Marjon Growth plan through capital planning, placing less reliance on borrowing as appropriate.</w:t>
            </w:r>
          </w:p>
        </w:tc>
      </w:tr>
      <w:tr w:rsidR="00110E54" w:rsidRPr="00110E54" w14:paraId="46FFE2D9" w14:textId="77777777" w:rsidTr="00DB3D4D">
        <w:tc>
          <w:tcPr>
            <w:tcW w:w="988" w:type="dxa"/>
          </w:tcPr>
          <w:p w14:paraId="5694376F" w14:textId="77777777" w:rsidR="00110E54" w:rsidRPr="00110E54" w:rsidRDefault="00110E54" w:rsidP="00110E54">
            <w:pPr>
              <w:rPr>
                <w:b/>
                <w:bCs/>
              </w:rPr>
            </w:pPr>
            <w:r w:rsidRPr="00110E54">
              <w:rPr>
                <w:b/>
                <w:bCs/>
              </w:rPr>
              <w:t>2.3</w:t>
            </w:r>
          </w:p>
        </w:tc>
        <w:tc>
          <w:tcPr>
            <w:tcW w:w="8748" w:type="dxa"/>
          </w:tcPr>
          <w:p w14:paraId="0F1F8361" w14:textId="77777777" w:rsidR="00110E54" w:rsidRPr="00110E54" w:rsidRDefault="00110E54" w:rsidP="00110E54">
            <w:r w:rsidRPr="00110E54">
              <w:t>The Financial Strategy and Medium-Term Financial Plan reflects the targets set for sustainable returns on funds invested.</w:t>
            </w:r>
          </w:p>
        </w:tc>
      </w:tr>
      <w:tr w:rsidR="00110E54" w:rsidRPr="00110E54" w14:paraId="75C03228" w14:textId="77777777" w:rsidTr="00DB3D4D">
        <w:tc>
          <w:tcPr>
            <w:tcW w:w="988" w:type="dxa"/>
          </w:tcPr>
          <w:p w14:paraId="61AE8B07" w14:textId="77777777" w:rsidR="00110E54" w:rsidRPr="00110E54" w:rsidRDefault="00110E54" w:rsidP="00110E54">
            <w:pPr>
              <w:rPr>
                <w:b/>
                <w:bCs/>
              </w:rPr>
            </w:pPr>
            <w:r w:rsidRPr="00110E54">
              <w:rPr>
                <w:b/>
                <w:bCs/>
              </w:rPr>
              <w:t>2.4</w:t>
            </w:r>
          </w:p>
        </w:tc>
        <w:tc>
          <w:tcPr>
            <w:tcW w:w="8748" w:type="dxa"/>
          </w:tcPr>
          <w:p w14:paraId="0018707A" w14:textId="77777777" w:rsidR="00110E54" w:rsidRPr="00110E54" w:rsidRDefault="00110E54" w:rsidP="00110E54">
            <w:r w:rsidRPr="00110E54">
              <w:t xml:space="preserve">The Procurement Plan. Fund Managers and our Bank acting on behalf of the </w:t>
            </w:r>
          </w:p>
          <w:p w14:paraId="449F9F22" w14:textId="77777777" w:rsidR="00110E54" w:rsidRPr="00110E54" w:rsidRDefault="00110E54" w:rsidP="00110E54">
            <w:r w:rsidRPr="00110E54">
              <w:t xml:space="preserve">University </w:t>
            </w:r>
            <w:proofErr w:type="gramStart"/>
            <w:r w:rsidRPr="00110E54">
              <w:t>are</w:t>
            </w:r>
            <w:proofErr w:type="gramEnd"/>
            <w:r w:rsidRPr="00110E54">
              <w:t xml:space="preserve"> procured with the Ethical Investment Strategy and Marjon Values at </w:t>
            </w:r>
          </w:p>
          <w:p w14:paraId="3AA8B8A4" w14:textId="77777777" w:rsidR="00110E54" w:rsidRPr="00110E54" w:rsidRDefault="00110E54" w:rsidP="00110E54">
            <w:r w:rsidRPr="00110E54">
              <w:t>the forefront of expectations.</w:t>
            </w:r>
          </w:p>
        </w:tc>
      </w:tr>
      <w:tr w:rsidR="00110E54" w:rsidRPr="00110E54" w14:paraId="44C18A73" w14:textId="77777777" w:rsidTr="00DB3D4D">
        <w:tc>
          <w:tcPr>
            <w:tcW w:w="988" w:type="dxa"/>
          </w:tcPr>
          <w:p w14:paraId="69512CC7" w14:textId="77777777" w:rsidR="00110E54" w:rsidRPr="00110E54" w:rsidRDefault="00110E54" w:rsidP="00110E54">
            <w:pPr>
              <w:rPr>
                <w:b/>
                <w:bCs/>
              </w:rPr>
            </w:pPr>
            <w:r w:rsidRPr="00110E54">
              <w:rPr>
                <w:b/>
                <w:bCs/>
              </w:rPr>
              <w:t>2.5</w:t>
            </w:r>
          </w:p>
        </w:tc>
        <w:tc>
          <w:tcPr>
            <w:tcW w:w="8748" w:type="dxa"/>
          </w:tcPr>
          <w:p w14:paraId="6A2FBF0F" w14:textId="77777777" w:rsidR="00110E54" w:rsidRPr="00110E54" w:rsidRDefault="00110E54" w:rsidP="00110E54">
            <w:r w:rsidRPr="00110E54">
              <w:t>Financial Regulations reflect the appropriate governance, operational expectations and delegations to maintain control whilst ensuring efficient management of investments and performance reporting.</w:t>
            </w:r>
          </w:p>
        </w:tc>
      </w:tr>
      <w:tr w:rsidR="00110E54" w:rsidRPr="00110E54" w14:paraId="2F63AF5F" w14:textId="77777777" w:rsidTr="00DB3D4D">
        <w:tc>
          <w:tcPr>
            <w:tcW w:w="988" w:type="dxa"/>
          </w:tcPr>
          <w:p w14:paraId="4FE93C1D" w14:textId="77777777" w:rsidR="00110E54" w:rsidRPr="00110E54" w:rsidRDefault="00110E54" w:rsidP="00110E54">
            <w:pPr>
              <w:rPr>
                <w:b/>
                <w:bCs/>
              </w:rPr>
            </w:pPr>
            <w:r w:rsidRPr="00110E54">
              <w:rPr>
                <w:b/>
                <w:bCs/>
              </w:rPr>
              <w:lastRenderedPageBreak/>
              <w:t>2.6</w:t>
            </w:r>
          </w:p>
        </w:tc>
        <w:tc>
          <w:tcPr>
            <w:tcW w:w="8748" w:type="dxa"/>
          </w:tcPr>
          <w:p w14:paraId="41B3F250" w14:textId="77777777" w:rsidR="00110E54" w:rsidRPr="00110E54" w:rsidRDefault="00110E54" w:rsidP="00110E54">
            <w:r w:rsidRPr="00110E54">
              <w:t>The Strategic Risk Register contains the appropriate risk appetite for investments to generate returns and safeguard funds invested. This is routinely reviewed by the Director of Finance &amp; IT to reflect economic and market context.</w:t>
            </w:r>
          </w:p>
        </w:tc>
      </w:tr>
      <w:tr w:rsidR="00110E54" w:rsidRPr="00110E54" w14:paraId="007828AB" w14:textId="77777777" w:rsidTr="00DB3D4D">
        <w:tc>
          <w:tcPr>
            <w:tcW w:w="988" w:type="dxa"/>
          </w:tcPr>
          <w:p w14:paraId="1E4B8DDB" w14:textId="77777777" w:rsidR="00110E54" w:rsidRPr="00110E54" w:rsidRDefault="00110E54" w:rsidP="00110E54">
            <w:pPr>
              <w:rPr>
                <w:b/>
                <w:bCs/>
              </w:rPr>
            </w:pPr>
            <w:r w:rsidRPr="00110E54">
              <w:rPr>
                <w:b/>
                <w:bCs/>
              </w:rPr>
              <w:t>2.7</w:t>
            </w:r>
          </w:p>
        </w:tc>
        <w:tc>
          <w:tcPr>
            <w:tcW w:w="8748" w:type="dxa"/>
          </w:tcPr>
          <w:p w14:paraId="538DC2D4" w14:textId="77777777" w:rsidR="00110E54" w:rsidRPr="00110E54" w:rsidRDefault="00110E54" w:rsidP="00110E54">
            <w:r w:rsidRPr="00110E54">
              <w:t>The Ethical Investment Strategy matches the key aspects of the Sustainability and Climate Emergency Strategy, whilst having regard for financial performance.</w:t>
            </w:r>
          </w:p>
        </w:tc>
      </w:tr>
    </w:tbl>
    <w:p w14:paraId="1CBCDFF2" w14:textId="77777777" w:rsidR="00110E54" w:rsidRPr="00110E54" w:rsidRDefault="00110E54" w:rsidP="00110E54"/>
    <w:p w14:paraId="14E806C2" w14:textId="77777777" w:rsidR="00110E54" w:rsidRPr="00110E54" w:rsidRDefault="00110E54" w:rsidP="00110E54">
      <w:pPr>
        <w:spacing w:line="256" w:lineRule="auto"/>
        <w:contextualSpacing/>
        <w:rPr>
          <w:i/>
          <w:iCs/>
        </w:rPr>
      </w:pPr>
      <w:r w:rsidRPr="00110E54">
        <w:rPr>
          <w:i/>
          <w:iCs/>
        </w:rPr>
        <w:t>As implementation will inevitably be iterative in nature and require responsiveness to context, there will be a detailed annual Ethical Investment action plan aligned with the intentions and the broader implementation expectations.</w:t>
      </w:r>
    </w:p>
    <w:p w14:paraId="2457F62A" w14:textId="77777777" w:rsidR="00110E54" w:rsidRPr="00110E54" w:rsidRDefault="00110E54" w:rsidP="00110E54">
      <w:pPr>
        <w:spacing w:line="256" w:lineRule="auto"/>
        <w:contextualSpacing/>
      </w:pPr>
    </w:p>
    <w:p w14:paraId="5D8B757F" w14:textId="77777777" w:rsidR="00110E54" w:rsidRPr="00110E54" w:rsidRDefault="00110E54" w:rsidP="00110E54">
      <w:pPr>
        <w:numPr>
          <w:ilvl w:val="0"/>
          <w:numId w:val="2"/>
        </w:numPr>
        <w:pBdr>
          <w:top w:val="single" w:sz="4" w:space="10" w:color="4472C4" w:themeColor="accent1"/>
          <w:bottom w:val="single" w:sz="4" w:space="10" w:color="4472C4" w:themeColor="accent1"/>
        </w:pBdr>
        <w:spacing w:before="360" w:after="360"/>
        <w:ind w:right="864"/>
        <w:jc w:val="center"/>
        <w:rPr>
          <w:b/>
          <w:bCs/>
          <w:sz w:val="28"/>
          <w:szCs w:val="28"/>
        </w:rPr>
      </w:pPr>
      <w:r w:rsidRPr="00110E54">
        <w:rPr>
          <w:b/>
          <w:bCs/>
          <w:sz w:val="28"/>
          <w:szCs w:val="28"/>
        </w:rPr>
        <w:t>Impact</w:t>
      </w:r>
    </w:p>
    <w:p w14:paraId="4A276F3A" w14:textId="77777777" w:rsidR="00110E54" w:rsidRPr="00110E54" w:rsidRDefault="00110E54" w:rsidP="00110E54">
      <w:pPr>
        <w:spacing w:line="256" w:lineRule="auto"/>
        <w:contextualSpacing/>
      </w:pPr>
    </w:p>
    <w:p w14:paraId="65E2DD62" w14:textId="77777777" w:rsidR="00110E54" w:rsidRPr="00110E54" w:rsidRDefault="00110E54" w:rsidP="00110E54">
      <w:pPr>
        <w:spacing w:line="256" w:lineRule="auto"/>
        <w:contextualSpacing/>
        <w:rPr>
          <w:rFonts w:ascii="Aharoni" w:eastAsia="Calibri" w:hAnsi="Aharoni" w:cs="Aharoni"/>
          <w:bCs/>
          <w:i/>
          <w:iCs/>
          <w:color w:val="FFFFFF" w:themeColor="background1"/>
          <w:sz w:val="72"/>
          <w:szCs w:val="72"/>
        </w:rPr>
      </w:pPr>
      <w:r w:rsidRPr="00110E54">
        <w:t>Whilst annual priorities will be established, there are broader key performance indicators that would demonstrate positive impact.</w:t>
      </w:r>
    </w:p>
    <w:p w14:paraId="4B53E639" w14:textId="77777777" w:rsidR="00110E54" w:rsidRPr="00110E54" w:rsidRDefault="00110E54" w:rsidP="00110E54">
      <w:pPr>
        <w:spacing w:line="256" w:lineRule="auto"/>
        <w:contextualSpacing/>
        <w:rPr>
          <w:rFonts w:ascii="Aharoni" w:eastAsia="Calibri" w:hAnsi="Aharoni" w:cs="Aharoni"/>
          <w:bCs/>
          <w:color w:val="FFFFFF" w:themeColor="background1"/>
          <w:sz w:val="72"/>
          <w:szCs w:val="72"/>
        </w:rPr>
      </w:pPr>
      <w:r w:rsidRPr="00110E54">
        <w:rPr>
          <w:rFonts w:ascii="Aharoni" w:eastAsia="Calibri" w:hAnsi="Aharoni" w:cs="Aharoni"/>
          <w:bCs/>
          <w:color w:val="FFFFFF" w:themeColor="background1"/>
          <w:sz w:val="72"/>
          <w:szCs w:val="72"/>
        </w:rPr>
        <w:t>Green Trave</w:t>
      </w:r>
    </w:p>
    <w:tbl>
      <w:tblPr>
        <w:tblStyle w:val="TableGrid"/>
        <w:tblW w:w="0" w:type="auto"/>
        <w:tblLook w:val="04A0" w:firstRow="1" w:lastRow="0" w:firstColumn="1" w:lastColumn="0" w:noHBand="0" w:noVBand="1"/>
      </w:tblPr>
      <w:tblGrid>
        <w:gridCol w:w="1202"/>
        <w:gridCol w:w="7814"/>
      </w:tblGrid>
      <w:tr w:rsidR="00110E54" w:rsidRPr="00110E54" w14:paraId="4CEE67BB" w14:textId="77777777" w:rsidTr="00DB3D4D">
        <w:tc>
          <w:tcPr>
            <w:tcW w:w="9736" w:type="dxa"/>
            <w:gridSpan w:val="2"/>
            <w:shd w:val="clear" w:color="auto" w:fill="E2EFD9" w:themeFill="accent6" w:themeFillTint="33"/>
          </w:tcPr>
          <w:p w14:paraId="6CB3E894" w14:textId="77777777" w:rsidR="00110E54" w:rsidRPr="00110E54" w:rsidRDefault="00110E54" w:rsidP="00110E54">
            <w:pPr>
              <w:spacing w:line="256" w:lineRule="auto"/>
              <w:contextualSpacing/>
              <w:rPr>
                <w:rFonts w:eastAsia="Calibri" w:cstheme="minorHAnsi"/>
                <w:b/>
                <w:sz w:val="24"/>
                <w:szCs w:val="24"/>
              </w:rPr>
            </w:pPr>
            <w:r w:rsidRPr="00110E54">
              <w:rPr>
                <w:rFonts w:eastAsia="Calibri" w:cstheme="minorHAnsi"/>
                <w:b/>
                <w:sz w:val="24"/>
                <w:szCs w:val="24"/>
              </w:rPr>
              <w:t>Performance Indicators</w:t>
            </w:r>
          </w:p>
        </w:tc>
      </w:tr>
      <w:tr w:rsidR="00110E54" w:rsidRPr="00110E54" w14:paraId="7A0A2CCE" w14:textId="77777777" w:rsidTr="00DB3D4D">
        <w:tc>
          <w:tcPr>
            <w:tcW w:w="1271" w:type="dxa"/>
          </w:tcPr>
          <w:p w14:paraId="710E5569" w14:textId="77777777" w:rsidR="00110E54" w:rsidRPr="00110E54" w:rsidRDefault="00110E54" w:rsidP="00110E54">
            <w:pPr>
              <w:spacing w:line="256" w:lineRule="auto"/>
              <w:contextualSpacing/>
              <w:rPr>
                <w:rFonts w:eastAsia="Calibri" w:cstheme="minorHAnsi"/>
                <w:b/>
                <w:sz w:val="24"/>
                <w:szCs w:val="24"/>
              </w:rPr>
            </w:pPr>
            <w:r w:rsidRPr="00110E54">
              <w:rPr>
                <w:rFonts w:eastAsia="Calibri" w:cstheme="minorHAnsi"/>
                <w:b/>
                <w:sz w:val="24"/>
                <w:szCs w:val="24"/>
              </w:rPr>
              <w:t>3.1</w:t>
            </w:r>
          </w:p>
        </w:tc>
        <w:tc>
          <w:tcPr>
            <w:tcW w:w="8465" w:type="dxa"/>
          </w:tcPr>
          <w:p w14:paraId="4DEF8D3D" w14:textId="77777777" w:rsidR="00110E54" w:rsidRPr="00110E54" w:rsidRDefault="00110E54" w:rsidP="00110E54">
            <w:pPr>
              <w:spacing w:line="256" w:lineRule="auto"/>
              <w:contextualSpacing/>
              <w:rPr>
                <w:rFonts w:eastAsia="Calibri" w:cstheme="minorHAnsi"/>
                <w:b/>
                <w:sz w:val="24"/>
                <w:szCs w:val="24"/>
              </w:rPr>
            </w:pPr>
            <w:r w:rsidRPr="00110E54">
              <w:t>Protected capital value / improved capital growth and in year dividends.</w:t>
            </w:r>
          </w:p>
        </w:tc>
      </w:tr>
      <w:tr w:rsidR="00110E54" w:rsidRPr="00110E54" w14:paraId="47D372D7" w14:textId="77777777" w:rsidTr="00DB3D4D">
        <w:tc>
          <w:tcPr>
            <w:tcW w:w="1271" w:type="dxa"/>
          </w:tcPr>
          <w:p w14:paraId="7365DE42" w14:textId="77777777" w:rsidR="00110E54" w:rsidRPr="00110E54" w:rsidRDefault="00110E54" w:rsidP="00110E54">
            <w:pPr>
              <w:spacing w:line="256" w:lineRule="auto"/>
              <w:contextualSpacing/>
              <w:rPr>
                <w:rFonts w:eastAsia="Calibri" w:cstheme="minorHAnsi"/>
                <w:b/>
                <w:sz w:val="24"/>
                <w:szCs w:val="24"/>
              </w:rPr>
            </w:pPr>
            <w:r w:rsidRPr="00110E54">
              <w:rPr>
                <w:rFonts w:eastAsia="Calibri" w:cstheme="minorHAnsi"/>
                <w:b/>
                <w:sz w:val="24"/>
                <w:szCs w:val="24"/>
              </w:rPr>
              <w:t>3.2</w:t>
            </w:r>
          </w:p>
        </w:tc>
        <w:tc>
          <w:tcPr>
            <w:tcW w:w="8465" w:type="dxa"/>
          </w:tcPr>
          <w:p w14:paraId="260C7AE5" w14:textId="77777777" w:rsidR="00110E54" w:rsidRPr="00110E54" w:rsidRDefault="00110E54" w:rsidP="00110E54">
            <w:pPr>
              <w:spacing w:line="256" w:lineRule="auto"/>
              <w:contextualSpacing/>
              <w:rPr>
                <w:rFonts w:eastAsia="Calibri" w:cstheme="minorHAnsi"/>
                <w:b/>
                <w:sz w:val="24"/>
                <w:szCs w:val="24"/>
              </w:rPr>
            </w:pPr>
            <w:r w:rsidRPr="00110E54">
              <w:t>Return on investment from cash deposits.</w:t>
            </w:r>
          </w:p>
        </w:tc>
      </w:tr>
      <w:tr w:rsidR="00110E54" w:rsidRPr="00110E54" w14:paraId="240A512F" w14:textId="77777777" w:rsidTr="00DB3D4D">
        <w:tc>
          <w:tcPr>
            <w:tcW w:w="1271" w:type="dxa"/>
          </w:tcPr>
          <w:p w14:paraId="15E97F2B" w14:textId="77777777" w:rsidR="00110E54" w:rsidRPr="00110E54" w:rsidRDefault="00110E54" w:rsidP="00110E54">
            <w:pPr>
              <w:spacing w:line="256" w:lineRule="auto"/>
              <w:contextualSpacing/>
              <w:rPr>
                <w:rFonts w:eastAsia="Calibri" w:cstheme="minorHAnsi"/>
                <w:b/>
                <w:sz w:val="24"/>
                <w:szCs w:val="24"/>
              </w:rPr>
            </w:pPr>
            <w:r w:rsidRPr="00110E54">
              <w:rPr>
                <w:rFonts w:eastAsia="Calibri" w:cstheme="minorHAnsi"/>
                <w:b/>
                <w:sz w:val="24"/>
                <w:szCs w:val="24"/>
              </w:rPr>
              <w:t>3.4</w:t>
            </w:r>
          </w:p>
        </w:tc>
        <w:tc>
          <w:tcPr>
            <w:tcW w:w="8465" w:type="dxa"/>
          </w:tcPr>
          <w:p w14:paraId="39C05F07" w14:textId="77777777" w:rsidR="00110E54" w:rsidRPr="00110E54" w:rsidRDefault="00110E54" w:rsidP="00110E54">
            <w:pPr>
              <w:spacing w:line="256" w:lineRule="auto"/>
              <w:contextualSpacing/>
              <w:rPr>
                <w:rFonts w:eastAsia="Calibri" w:cstheme="minorHAnsi"/>
                <w:b/>
                <w:sz w:val="24"/>
                <w:szCs w:val="24"/>
              </w:rPr>
            </w:pPr>
            <w:r w:rsidRPr="00110E54">
              <w:t>Investment portfolio remains within the parameters set out in the strategy.</w:t>
            </w:r>
          </w:p>
        </w:tc>
      </w:tr>
      <w:tr w:rsidR="00110E54" w:rsidRPr="00110E54" w14:paraId="7732A905" w14:textId="77777777" w:rsidTr="00DB3D4D">
        <w:tc>
          <w:tcPr>
            <w:tcW w:w="1271" w:type="dxa"/>
          </w:tcPr>
          <w:p w14:paraId="3AD9300C" w14:textId="77777777" w:rsidR="00110E54" w:rsidRPr="00110E54" w:rsidRDefault="00110E54" w:rsidP="00110E54">
            <w:pPr>
              <w:spacing w:line="256" w:lineRule="auto"/>
              <w:contextualSpacing/>
              <w:rPr>
                <w:rFonts w:eastAsia="Calibri" w:cstheme="minorHAnsi"/>
                <w:b/>
                <w:sz w:val="24"/>
                <w:szCs w:val="24"/>
              </w:rPr>
            </w:pPr>
            <w:r w:rsidRPr="00110E54">
              <w:rPr>
                <w:rFonts w:eastAsia="Calibri" w:cstheme="minorHAnsi"/>
                <w:b/>
                <w:sz w:val="24"/>
                <w:szCs w:val="24"/>
              </w:rPr>
              <w:t>3.5</w:t>
            </w:r>
          </w:p>
        </w:tc>
        <w:tc>
          <w:tcPr>
            <w:tcW w:w="8465" w:type="dxa"/>
          </w:tcPr>
          <w:p w14:paraId="39150A23" w14:textId="77777777" w:rsidR="00110E54" w:rsidRPr="00110E54" w:rsidRDefault="00110E54" w:rsidP="00110E54">
            <w:pPr>
              <w:spacing w:line="256" w:lineRule="auto"/>
              <w:contextualSpacing/>
              <w:rPr>
                <w:rFonts w:eastAsia="Calibri" w:cstheme="minorHAnsi"/>
                <w:b/>
                <w:sz w:val="24"/>
                <w:szCs w:val="24"/>
              </w:rPr>
            </w:pPr>
            <w:r w:rsidRPr="00110E54">
              <w:t>Investments do not detrimentally impact on the University values.</w:t>
            </w:r>
          </w:p>
        </w:tc>
      </w:tr>
      <w:tr w:rsidR="00110E54" w:rsidRPr="00110E54" w14:paraId="33328101" w14:textId="77777777" w:rsidTr="00DB3D4D">
        <w:tc>
          <w:tcPr>
            <w:tcW w:w="1271" w:type="dxa"/>
          </w:tcPr>
          <w:p w14:paraId="6D8B0984" w14:textId="77777777" w:rsidR="00110E54" w:rsidRPr="00110E54" w:rsidRDefault="00110E54" w:rsidP="00110E54">
            <w:pPr>
              <w:spacing w:line="256" w:lineRule="auto"/>
              <w:contextualSpacing/>
              <w:rPr>
                <w:rFonts w:eastAsia="Calibri" w:cstheme="minorHAnsi"/>
                <w:b/>
                <w:sz w:val="24"/>
                <w:szCs w:val="24"/>
              </w:rPr>
            </w:pPr>
            <w:r w:rsidRPr="00110E54">
              <w:rPr>
                <w:rFonts w:eastAsia="Calibri" w:cstheme="minorHAnsi"/>
                <w:b/>
                <w:sz w:val="24"/>
                <w:szCs w:val="24"/>
              </w:rPr>
              <w:t>3.6</w:t>
            </w:r>
          </w:p>
        </w:tc>
        <w:tc>
          <w:tcPr>
            <w:tcW w:w="8465" w:type="dxa"/>
          </w:tcPr>
          <w:p w14:paraId="09F911F4" w14:textId="77777777" w:rsidR="00110E54" w:rsidRPr="00110E54" w:rsidRDefault="00110E54" w:rsidP="00110E54">
            <w:pPr>
              <w:spacing w:line="256" w:lineRule="auto"/>
              <w:contextualSpacing/>
            </w:pPr>
            <w:r w:rsidRPr="00110E54">
              <w:t>Cash liquidity ratio is not at risk of breaching the Office for Students reporting limits.</w:t>
            </w:r>
          </w:p>
        </w:tc>
      </w:tr>
      <w:tr w:rsidR="00110E54" w:rsidRPr="00110E54" w14:paraId="1D754C2D" w14:textId="77777777" w:rsidTr="00DB3D4D">
        <w:tc>
          <w:tcPr>
            <w:tcW w:w="1271" w:type="dxa"/>
          </w:tcPr>
          <w:p w14:paraId="338BC227" w14:textId="77777777" w:rsidR="00110E54" w:rsidRPr="00110E54" w:rsidRDefault="00110E54" w:rsidP="00110E54">
            <w:pPr>
              <w:spacing w:line="256" w:lineRule="auto"/>
              <w:contextualSpacing/>
              <w:rPr>
                <w:rFonts w:eastAsia="Calibri" w:cstheme="minorHAnsi"/>
                <w:b/>
                <w:sz w:val="24"/>
                <w:szCs w:val="24"/>
              </w:rPr>
            </w:pPr>
            <w:r w:rsidRPr="00110E54">
              <w:rPr>
                <w:rFonts w:eastAsia="Calibri" w:cstheme="minorHAnsi"/>
                <w:b/>
                <w:sz w:val="24"/>
                <w:szCs w:val="24"/>
              </w:rPr>
              <w:t>3.7</w:t>
            </w:r>
          </w:p>
        </w:tc>
        <w:tc>
          <w:tcPr>
            <w:tcW w:w="8465" w:type="dxa"/>
          </w:tcPr>
          <w:p w14:paraId="13A43441" w14:textId="77777777" w:rsidR="00110E54" w:rsidRPr="00110E54" w:rsidRDefault="00110E54" w:rsidP="00110E54">
            <w:pPr>
              <w:spacing w:line="256" w:lineRule="auto"/>
              <w:contextualSpacing/>
            </w:pPr>
            <w:r w:rsidRPr="00110E54">
              <w:t>Value for money achieved Investments and cash deposit v repayment of borrowing.</w:t>
            </w:r>
          </w:p>
        </w:tc>
      </w:tr>
      <w:tr w:rsidR="00110E54" w:rsidRPr="00110E54" w14:paraId="416D94EC" w14:textId="77777777" w:rsidTr="00DB3D4D">
        <w:tc>
          <w:tcPr>
            <w:tcW w:w="1271" w:type="dxa"/>
          </w:tcPr>
          <w:p w14:paraId="37F8146B" w14:textId="77777777" w:rsidR="00110E54" w:rsidRPr="00110E54" w:rsidRDefault="00110E54" w:rsidP="00110E54">
            <w:pPr>
              <w:spacing w:line="256" w:lineRule="auto"/>
              <w:contextualSpacing/>
              <w:rPr>
                <w:rFonts w:eastAsia="Calibri" w:cstheme="minorHAnsi"/>
                <w:b/>
                <w:sz w:val="24"/>
                <w:szCs w:val="24"/>
              </w:rPr>
            </w:pPr>
            <w:r w:rsidRPr="00110E54">
              <w:rPr>
                <w:rFonts w:eastAsia="Calibri" w:cstheme="minorHAnsi"/>
                <w:b/>
                <w:sz w:val="24"/>
                <w:szCs w:val="24"/>
              </w:rPr>
              <w:t>3.8</w:t>
            </w:r>
          </w:p>
        </w:tc>
        <w:tc>
          <w:tcPr>
            <w:tcW w:w="8465" w:type="dxa"/>
          </w:tcPr>
          <w:p w14:paraId="43341DF2" w14:textId="77777777" w:rsidR="00110E54" w:rsidRPr="00110E54" w:rsidRDefault="00110E54" w:rsidP="00110E54">
            <w:pPr>
              <w:spacing w:line="256" w:lineRule="auto"/>
              <w:contextualSpacing/>
            </w:pPr>
            <w:r w:rsidRPr="00110E54">
              <w:t>Bank Covenant not breached because of investment decisions.</w:t>
            </w:r>
          </w:p>
        </w:tc>
      </w:tr>
    </w:tbl>
    <w:p w14:paraId="23F6EA91" w14:textId="77777777" w:rsidR="00110E54" w:rsidRPr="00110E54" w:rsidRDefault="00110E54" w:rsidP="00110E54">
      <w:pPr>
        <w:spacing w:line="256" w:lineRule="auto"/>
        <w:contextualSpacing/>
        <w:rPr>
          <w:rFonts w:ascii="Aharoni" w:eastAsia="Calibri" w:hAnsi="Aharoni" w:cs="Aharoni"/>
          <w:bCs/>
          <w:color w:val="FFFFFF" w:themeColor="background1"/>
          <w:sz w:val="72"/>
          <w:szCs w:val="72"/>
        </w:rPr>
      </w:pPr>
      <w:r w:rsidRPr="00110E54">
        <w:rPr>
          <w:rFonts w:ascii="Aharoni" w:eastAsia="Calibri" w:hAnsi="Aharoni" w:cs="Aharoni"/>
          <w:bCs/>
          <w:color w:val="FFFFFF" w:themeColor="background1"/>
          <w:sz w:val="72"/>
          <w:szCs w:val="72"/>
        </w:rPr>
        <w:t xml:space="preserve">l and Transport </w:t>
      </w:r>
    </w:p>
    <w:p w14:paraId="5291856E" w14:textId="77777777" w:rsidR="00110E54" w:rsidRPr="00110E54" w:rsidRDefault="00110E54" w:rsidP="00110E54">
      <w:pPr>
        <w:spacing w:line="256" w:lineRule="auto"/>
        <w:contextualSpacing/>
        <w:rPr>
          <w:rFonts w:ascii="Aharoni" w:eastAsia="Calibri" w:hAnsi="Aharoni" w:cs="Aharoni"/>
          <w:bCs/>
          <w:sz w:val="72"/>
          <w:szCs w:val="72"/>
        </w:rPr>
      </w:pPr>
    </w:p>
    <w:p w14:paraId="33B8B51D" w14:textId="77777777" w:rsidR="00110E54" w:rsidRPr="00110E54" w:rsidRDefault="00110E54" w:rsidP="00110E54">
      <w:pPr>
        <w:spacing w:line="256" w:lineRule="auto"/>
        <w:contextualSpacing/>
        <w:rPr>
          <w:rFonts w:ascii="Aharoni" w:eastAsia="Calibri" w:hAnsi="Aharoni" w:cs="Aharoni"/>
          <w:bCs/>
          <w:sz w:val="72"/>
          <w:szCs w:val="72"/>
        </w:rPr>
      </w:pPr>
    </w:p>
    <w:p w14:paraId="5008DF71" w14:textId="77777777" w:rsidR="00110E54" w:rsidRPr="00110E54" w:rsidRDefault="00110E54" w:rsidP="00110E54">
      <w:pPr>
        <w:spacing w:line="256" w:lineRule="auto"/>
        <w:contextualSpacing/>
        <w:rPr>
          <w:rFonts w:ascii="Aharoni" w:eastAsia="Calibri" w:hAnsi="Aharoni" w:cs="Aharoni"/>
          <w:bCs/>
          <w:sz w:val="72"/>
          <w:szCs w:val="72"/>
        </w:rPr>
      </w:pPr>
    </w:p>
    <w:p w14:paraId="5E0E50E4" w14:textId="77777777" w:rsidR="00B41B17" w:rsidRDefault="00B41B17"/>
    <w:sectPr w:rsidR="00B41B1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6CD76" w14:textId="77777777" w:rsidR="006F60F2" w:rsidRDefault="006F60F2" w:rsidP="006F60F2">
      <w:pPr>
        <w:spacing w:after="0" w:line="240" w:lineRule="auto"/>
      </w:pPr>
      <w:r>
        <w:separator/>
      </w:r>
    </w:p>
  </w:endnote>
  <w:endnote w:type="continuationSeparator" w:id="0">
    <w:p w14:paraId="5436509D" w14:textId="77777777" w:rsidR="006F60F2" w:rsidRDefault="006F60F2" w:rsidP="006F6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altName w:val="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90FA" w14:textId="77777777" w:rsidR="006F60F2" w:rsidRDefault="006F6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4A7B" w14:textId="77777777" w:rsidR="006F60F2" w:rsidRDefault="006F60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9F06" w14:textId="77777777" w:rsidR="006F60F2" w:rsidRDefault="006F6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8B409" w14:textId="77777777" w:rsidR="006F60F2" w:rsidRDefault="006F60F2" w:rsidP="006F60F2">
      <w:pPr>
        <w:spacing w:after="0" w:line="240" w:lineRule="auto"/>
      </w:pPr>
      <w:r>
        <w:separator/>
      </w:r>
    </w:p>
  </w:footnote>
  <w:footnote w:type="continuationSeparator" w:id="0">
    <w:p w14:paraId="336FD0AD" w14:textId="77777777" w:rsidR="006F60F2" w:rsidRDefault="006F60F2" w:rsidP="006F6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BAFE" w14:textId="77777777" w:rsidR="006F60F2" w:rsidRDefault="006F60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590463"/>
      <w:docPartObj>
        <w:docPartGallery w:val="Watermarks"/>
        <w:docPartUnique/>
      </w:docPartObj>
    </w:sdtPr>
    <w:sdtContent>
      <w:p w14:paraId="222BB5B1" w14:textId="1AF7B0E8" w:rsidR="006F60F2" w:rsidRDefault="006F60F2">
        <w:pPr>
          <w:pStyle w:val="Header"/>
        </w:pPr>
        <w:r>
          <w:rPr>
            <w:noProof/>
          </w:rPr>
          <w:pict w14:anchorId="6753DA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FEEA" w14:textId="77777777" w:rsidR="006F60F2" w:rsidRDefault="006F6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0442E"/>
    <w:multiLevelType w:val="hybridMultilevel"/>
    <w:tmpl w:val="9788CB46"/>
    <w:lvl w:ilvl="0" w:tplc="833C07E8">
      <w:start w:val="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CEA1BE1"/>
    <w:multiLevelType w:val="hybridMultilevel"/>
    <w:tmpl w:val="75A8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C64970"/>
    <w:multiLevelType w:val="hybridMultilevel"/>
    <w:tmpl w:val="68727536"/>
    <w:lvl w:ilvl="0" w:tplc="2B8E6F62">
      <w:start w:val="1"/>
      <w:numFmt w:val="decimal"/>
      <w:lvlText w:val="%1."/>
      <w:lvlJc w:val="left"/>
      <w:pPr>
        <w:ind w:left="1224" w:hanging="360"/>
      </w:pPr>
      <w:rPr>
        <w:rFonts w:hint="default"/>
        <w:b/>
        <w:bCs/>
        <w:color w:val="auto"/>
        <w:sz w:val="28"/>
        <w:szCs w:val="28"/>
      </w:rPr>
    </w:lvl>
    <w:lvl w:ilvl="1" w:tplc="08090019" w:tentative="1">
      <w:start w:val="1"/>
      <w:numFmt w:val="lowerLetter"/>
      <w:lvlText w:val="%2."/>
      <w:lvlJc w:val="left"/>
      <w:pPr>
        <w:ind w:left="1944" w:hanging="360"/>
      </w:pPr>
    </w:lvl>
    <w:lvl w:ilvl="2" w:tplc="0809001B" w:tentative="1">
      <w:start w:val="1"/>
      <w:numFmt w:val="lowerRoman"/>
      <w:lvlText w:val="%3."/>
      <w:lvlJc w:val="right"/>
      <w:pPr>
        <w:ind w:left="2664" w:hanging="180"/>
      </w:p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E54"/>
    <w:rsid w:val="00110E54"/>
    <w:rsid w:val="003D3EBD"/>
    <w:rsid w:val="006F60F2"/>
    <w:rsid w:val="00B41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33D4E4"/>
  <w15:chartTrackingRefBased/>
  <w15:docId w15:val="{FE87ED0A-6893-42C9-B07B-5E0AC782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0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6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0F2"/>
  </w:style>
  <w:style w:type="paragraph" w:styleId="Footer">
    <w:name w:val="footer"/>
    <w:basedOn w:val="Normal"/>
    <w:link w:val="FooterChar"/>
    <w:uiPriority w:val="99"/>
    <w:unhideWhenUsed/>
    <w:rsid w:val="006F6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1236</Words>
  <Characters>7050</Characters>
  <Application>Microsoft Office Word</Application>
  <DocSecurity>0</DocSecurity>
  <Lines>58</Lines>
  <Paragraphs>16</Paragraphs>
  <ScaleCrop>false</ScaleCrop>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Edwards</dc:creator>
  <cp:keywords/>
  <dc:description/>
  <cp:lastModifiedBy>Eleanor Edwards</cp:lastModifiedBy>
  <cp:revision>2</cp:revision>
  <dcterms:created xsi:type="dcterms:W3CDTF">2022-06-30T07:39:00Z</dcterms:created>
  <dcterms:modified xsi:type="dcterms:W3CDTF">2022-06-30T10:14:00Z</dcterms:modified>
</cp:coreProperties>
</file>