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2B7ED" w14:textId="4887282C" w:rsidR="00EE6995" w:rsidRDefault="00EE6995" w:rsidP="00EE6995">
      <w:pPr>
        <w:pStyle w:val="Title"/>
        <w:jc w:val="center"/>
      </w:pPr>
      <w:r>
        <w:rPr>
          <w:noProof/>
        </w:rPr>
        <w:drawing>
          <wp:inline distT="0" distB="0" distL="0" distR="0" wp14:anchorId="55A02971" wp14:editId="765C2869">
            <wp:extent cx="1771650" cy="742950"/>
            <wp:effectExtent l="0" t="0" r="0" b="0"/>
            <wp:docPr id="1" name="Picture 1" descr="Plymouth Marjo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Plymouth Marjon Universit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7042B" w14:textId="77777777" w:rsidR="00EE6995" w:rsidRDefault="00EE6995" w:rsidP="00EE6995">
      <w:pPr>
        <w:spacing w:before="76"/>
        <w:ind w:left="288" w:right="289"/>
        <w:jc w:val="center"/>
        <w:rPr>
          <w:b/>
          <w:color w:val="001F5F"/>
          <w:sz w:val="32"/>
        </w:rPr>
      </w:pPr>
    </w:p>
    <w:p w14:paraId="6184910B" w14:textId="174C6FD2" w:rsidR="00EE6995" w:rsidRDefault="00EE6995" w:rsidP="00EE6995">
      <w:pPr>
        <w:pStyle w:val="Title"/>
        <w:jc w:val="center"/>
      </w:pPr>
      <w:bookmarkStart w:id="0" w:name="_GoBack"/>
      <w:r w:rsidRPr="00EE6995">
        <w:t>Research Excellence Framework</w:t>
      </w:r>
      <w:r>
        <w:t xml:space="preserve">: Quick </w:t>
      </w:r>
      <w:r w:rsidRPr="00EE6995">
        <w:t>Guide and Key Date</w:t>
      </w:r>
      <w:r>
        <w:t>s</w:t>
      </w:r>
    </w:p>
    <w:bookmarkEnd w:id="0"/>
    <w:p w14:paraId="0AD35A42" w14:textId="77777777" w:rsidR="00EE6995" w:rsidRDefault="00EE6995" w:rsidP="00EE6995">
      <w:pPr>
        <w:pStyle w:val="Title"/>
        <w:jc w:val="center"/>
      </w:pPr>
    </w:p>
    <w:p w14:paraId="646EDC96" w14:textId="03EACB44" w:rsidR="00EE6995" w:rsidRPr="00EE6995" w:rsidRDefault="00EE6995" w:rsidP="00EE6995">
      <w:pPr>
        <w:pStyle w:val="Heading1"/>
      </w:pPr>
      <w:r w:rsidRPr="00EE6995">
        <w:t>Overview</w:t>
      </w:r>
    </w:p>
    <w:p w14:paraId="0C114907" w14:textId="77777777" w:rsidR="00EE6995" w:rsidRPr="00EE6995" w:rsidRDefault="00EE6995" w:rsidP="00EE6995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The REF is an assessment of research via a process of expert review across 34 units of</w:t>
      </w:r>
    </w:p>
    <w:p w14:paraId="194D9DE6" w14:textId="0B906597" w:rsidR="00EE6995" w:rsidRPr="00EE6995" w:rsidRDefault="00EE6995" w:rsidP="00EE6995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assessment (UOA). It is important to Marjon to celebrate our excellent research, develop our</w:t>
      </w:r>
      <w:r>
        <w:rPr>
          <w:rFonts w:cs="Calibri"/>
          <w:color w:val="000000" w:themeColor="text1"/>
          <w:sz w:val="24"/>
          <w:szCs w:val="24"/>
        </w:rPr>
        <w:t xml:space="preserve"> </w:t>
      </w:r>
      <w:r w:rsidRPr="00EE6995">
        <w:rPr>
          <w:rFonts w:cs="Calibri"/>
          <w:color w:val="000000" w:themeColor="text1"/>
          <w:sz w:val="24"/>
          <w:szCs w:val="24"/>
        </w:rPr>
        <w:t>research culture for our students and to enhance our external reputation. Marjon are likely</w:t>
      </w:r>
      <w:r>
        <w:rPr>
          <w:rFonts w:cs="Calibri"/>
          <w:color w:val="000000" w:themeColor="text1"/>
          <w:sz w:val="24"/>
          <w:szCs w:val="24"/>
        </w:rPr>
        <w:t xml:space="preserve"> </w:t>
      </w:r>
      <w:r w:rsidRPr="00EE6995">
        <w:rPr>
          <w:rFonts w:cs="Calibri"/>
          <w:color w:val="000000" w:themeColor="text1"/>
          <w:sz w:val="24"/>
          <w:szCs w:val="24"/>
        </w:rPr>
        <w:t>to submit in three/four UOAs that reflect our distinctive curriculum areas and staff research</w:t>
      </w:r>
      <w:r>
        <w:rPr>
          <w:rFonts w:cs="Calibri"/>
          <w:color w:val="000000" w:themeColor="text1"/>
          <w:sz w:val="24"/>
          <w:szCs w:val="24"/>
        </w:rPr>
        <w:t xml:space="preserve"> </w:t>
      </w:r>
      <w:r w:rsidRPr="00EE6995">
        <w:rPr>
          <w:rFonts w:cs="Calibri"/>
          <w:color w:val="000000" w:themeColor="text1"/>
          <w:sz w:val="24"/>
          <w:szCs w:val="24"/>
        </w:rPr>
        <w:t>excellence, these might include;</w:t>
      </w:r>
    </w:p>
    <w:p w14:paraId="7F7945E2" w14:textId="77777777" w:rsidR="00EE6995" w:rsidRDefault="00EE6995" w:rsidP="00EE69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UOAA3 Allied Health Professions, Health Services and Primary Care</w:t>
      </w:r>
    </w:p>
    <w:p w14:paraId="515FAF86" w14:textId="77777777" w:rsidR="00EE6995" w:rsidRDefault="00EE6995" w:rsidP="00EE69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UOAC17 Business and Management Studies</w:t>
      </w:r>
    </w:p>
    <w:p w14:paraId="24197E6E" w14:textId="77777777" w:rsidR="00EE6995" w:rsidRDefault="00EE6995" w:rsidP="00EE69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UOAC20 Social Work and Social Policy</w:t>
      </w:r>
    </w:p>
    <w:p w14:paraId="4503273D" w14:textId="77777777" w:rsidR="00EE6995" w:rsidRDefault="00EE6995" w:rsidP="00EE69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UOAC23 Education</w:t>
      </w:r>
    </w:p>
    <w:p w14:paraId="00BCDD68" w14:textId="1D078843" w:rsidR="00EE6995" w:rsidRPr="00EE6995" w:rsidRDefault="00EE6995" w:rsidP="00EE69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UOAC24 Sport and Exercise Sciences, Leisure and Tourism</w:t>
      </w:r>
    </w:p>
    <w:p w14:paraId="4073F2BF" w14:textId="77777777" w:rsidR="00EE6995" w:rsidRPr="00EE6995" w:rsidRDefault="00EE6995" w:rsidP="00EE6995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68869148" w14:textId="77777777" w:rsidR="00EE6995" w:rsidRPr="00EE6995" w:rsidRDefault="00EE6995" w:rsidP="00EE6995">
      <w:pPr>
        <w:pStyle w:val="Heading1"/>
      </w:pPr>
      <w:r w:rsidRPr="00EE6995">
        <w:t>Outputs (60% weighting)</w:t>
      </w:r>
    </w:p>
    <w:p w14:paraId="07AC0B05" w14:textId="77777777" w:rsidR="00EE6995" w:rsidRDefault="00EE6995" w:rsidP="00EE69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The average number of outputs is 2.5 per full-time staff member, with a minimum of one</w:t>
      </w:r>
      <w:r w:rsidRPr="00EE6995">
        <w:rPr>
          <w:rFonts w:cs="Calibri"/>
          <w:color w:val="000000" w:themeColor="text1"/>
          <w:sz w:val="24"/>
          <w:szCs w:val="24"/>
        </w:rPr>
        <w:t xml:space="preserve"> </w:t>
      </w:r>
      <w:r w:rsidRPr="00EE6995">
        <w:rPr>
          <w:rFonts w:cs="Calibri"/>
          <w:color w:val="000000" w:themeColor="text1"/>
          <w:sz w:val="24"/>
          <w:szCs w:val="24"/>
        </w:rPr>
        <w:t>and maximum of five per staff member.</w:t>
      </w:r>
    </w:p>
    <w:p w14:paraId="50DD792A" w14:textId="77777777" w:rsidR="00EE6995" w:rsidRDefault="00EE6995" w:rsidP="00EE69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Outputs must be deposited in the CREST repository as soon after the point of acceptance</w:t>
      </w:r>
      <w:r w:rsidRPr="00EE6995">
        <w:rPr>
          <w:rFonts w:cs="Calibri"/>
          <w:color w:val="000000" w:themeColor="text1"/>
          <w:sz w:val="24"/>
          <w:szCs w:val="24"/>
        </w:rPr>
        <w:t xml:space="preserve"> </w:t>
      </w:r>
      <w:r w:rsidRPr="00EE6995">
        <w:rPr>
          <w:rFonts w:cs="Calibri"/>
          <w:color w:val="000000" w:themeColor="text1"/>
          <w:sz w:val="24"/>
          <w:szCs w:val="24"/>
        </w:rPr>
        <w:t>as possible, and no later than three months after acceptance to meet REF open access</w:t>
      </w:r>
      <w:r w:rsidRPr="00EE6995">
        <w:rPr>
          <w:rFonts w:cs="Calibri"/>
          <w:color w:val="000000" w:themeColor="text1"/>
          <w:sz w:val="24"/>
          <w:szCs w:val="24"/>
        </w:rPr>
        <w:t xml:space="preserve"> </w:t>
      </w:r>
      <w:r w:rsidRPr="00EE6995">
        <w:rPr>
          <w:rFonts w:cs="Calibri"/>
          <w:color w:val="000000" w:themeColor="text1"/>
          <w:sz w:val="24"/>
          <w:szCs w:val="24"/>
        </w:rPr>
        <w:t>requirements.</w:t>
      </w:r>
    </w:p>
    <w:p w14:paraId="022CC604" w14:textId="5984A5E7" w:rsidR="00EE6995" w:rsidRPr="00EE6995" w:rsidRDefault="00EE6995" w:rsidP="00EE69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Outputs must be published between 1 January 2014 to 31 December 2020.</w:t>
      </w:r>
    </w:p>
    <w:p w14:paraId="12FD9D41" w14:textId="77777777" w:rsidR="00EE6995" w:rsidRDefault="00EE6995" w:rsidP="00EE699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 w:themeColor="text1"/>
          <w:sz w:val="24"/>
          <w:szCs w:val="24"/>
        </w:rPr>
      </w:pPr>
    </w:p>
    <w:p w14:paraId="461A4504" w14:textId="77777777" w:rsidR="00EE6995" w:rsidRDefault="00EE6995" w:rsidP="00EE6995">
      <w:pPr>
        <w:pStyle w:val="Heading1"/>
      </w:pPr>
      <w:r w:rsidRPr="00EE6995">
        <w:t>Impact (25% weighting)</w:t>
      </w:r>
    </w:p>
    <w:p w14:paraId="3863A81A" w14:textId="5EB0083D" w:rsidR="00EE6995" w:rsidRPr="00EE6995" w:rsidRDefault="00EE6995" w:rsidP="00EE69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Each units of assessment Marjon submit to will require two impact case studies that</w:t>
      </w:r>
      <w:r>
        <w:rPr>
          <w:rFonts w:cs="Calibri"/>
          <w:color w:val="000000" w:themeColor="text1"/>
          <w:sz w:val="24"/>
          <w:szCs w:val="24"/>
        </w:rPr>
        <w:t xml:space="preserve"> </w:t>
      </w:r>
      <w:r w:rsidRPr="00EE6995">
        <w:rPr>
          <w:rFonts w:cs="Calibri"/>
          <w:color w:val="000000" w:themeColor="text1"/>
          <w:sz w:val="24"/>
          <w:szCs w:val="24"/>
        </w:rPr>
        <w:t>demonstrate the impact of research beyond academia and on wider society.</w:t>
      </w:r>
    </w:p>
    <w:p w14:paraId="40206C4B" w14:textId="77777777" w:rsidR="00EE6995" w:rsidRPr="00EE6995" w:rsidRDefault="00EE6995" w:rsidP="00EE69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Impact must have been demonstrated between 1 August 2013 to 31 July 2020.</w:t>
      </w:r>
    </w:p>
    <w:p w14:paraId="3841E590" w14:textId="2B8418D3" w:rsidR="00EE6995" w:rsidRDefault="00EE6995" w:rsidP="00EE69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-Bold"/>
          <w:b/>
          <w:bCs/>
          <w:color w:val="000000" w:themeColor="text1"/>
          <w:sz w:val="24"/>
          <w:szCs w:val="24"/>
        </w:rPr>
        <w:t xml:space="preserve"> </w:t>
      </w:r>
      <w:r w:rsidRPr="00EE6995">
        <w:rPr>
          <w:rFonts w:cs="Calibri"/>
          <w:color w:val="000000" w:themeColor="text1"/>
          <w:sz w:val="24"/>
          <w:szCs w:val="24"/>
        </w:rPr>
        <w:t>Underpinning research for impact (minimum 2*) must have been published between 1</w:t>
      </w:r>
      <w:r w:rsidRPr="00EE6995">
        <w:rPr>
          <w:rFonts w:cs="Calibri"/>
          <w:color w:val="000000" w:themeColor="text1"/>
          <w:sz w:val="24"/>
          <w:szCs w:val="24"/>
        </w:rPr>
        <w:t xml:space="preserve"> </w:t>
      </w:r>
      <w:r w:rsidRPr="00EE6995">
        <w:rPr>
          <w:rFonts w:cs="Calibri"/>
          <w:color w:val="000000" w:themeColor="text1"/>
          <w:sz w:val="24"/>
          <w:szCs w:val="24"/>
        </w:rPr>
        <w:t>January 2000 to 31 December 2020.</w:t>
      </w:r>
    </w:p>
    <w:p w14:paraId="05B9319F" w14:textId="77777777" w:rsidR="00EE6995" w:rsidRPr="00EE6995" w:rsidRDefault="00EE6995" w:rsidP="00EE6995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531092F0" w14:textId="77777777" w:rsidR="00EE6995" w:rsidRPr="00EE6995" w:rsidRDefault="00EE6995" w:rsidP="00EE6995">
      <w:pPr>
        <w:pStyle w:val="Heading1"/>
      </w:pPr>
      <w:r w:rsidRPr="00EE6995">
        <w:t>Environment (15% weighting)</w:t>
      </w:r>
    </w:p>
    <w:p w14:paraId="0ACB4A19" w14:textId="77777777" w:rsidR="00EE6995" w:rsidRPr="00EE6995" w:rsidRDefault="00EE6995" w:rsidP="00EE69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The assessment of research environment includes post-graduate research students, grant</w:t>
      </w:r>
      <w:r w:rsidRPr="00EE6995">
        <w:rPr>
          <w:rFonts w:cs="Calibri"/>
          <w:color w:val="000000" w:themeColor="text1"/>
          <w:sz w:val="24"/>
          <w:szCs w:val="24"/>
        </w:rPr>
        <w:t xml:space="preserve"> </w:t>
      </w:r>
      <w:r w:rsidRPr="00EE6995">
        <w:rPr>
          <w:rFonts w:cs="Calibri"/>
          <w:color w:val="000000" w:themeColor="text1"/>
          <w:sz w:val="24"/>
          <w:szCs w:val="24"/>
        </w:rPr>
        <w:t>income, research strategy and culture for research at both University and UOA level.</w:t>
      </w:r>
    </w:p>
    <w:p w14:paraId="5964BE4F" w14:textId="0836F621" w:rsidR="00EE6995" w:rsidRDefault="00EE6995" w:rsidP="00EE69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The assessment period for environment data is 1 August 2013 to 31 July 2020.</w:t>
      </w:r>
    </w:p>
    <w:p w14:paraId="2926A284" w14:textId="77777777" w:rsidR="00EE6995" w:rsidRPr="00EE6995" w:rsidRDefault="00EE6995" w:rsidP="00EE6995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0D9C3EE9" w14:textId="77777777" w:rsidR="00EE6995" w:rsidRDefault="00EE6995" w:rsidP="00EE6995">
      <w:pPr>
        <w:pStyle w:val="Heading1"/>
        <w:rPr>
          <w:rFonts w:cs="Wingdings2"/>
        </w:rPr>
      </w:pPr>
      <w:r w:rsidRPr="00EE6995">
        <w:lastRenderedPageBreak/>
        <w:t>Who will be Included?</w:t>
      </w:r>
    </w:p>
    <w:p w14:paraId="39AB898E" w14:textId="77777777" w:rsidR="00EE6995" w:rsidRPr="00EE6995" w:rsidRDefault="00EE6995" w:rsidP="00EE69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Marjon will develop and consult on a code of practice to cover our process for identifying</w:t>
      </w:r>
      <w:r w:rsidRPr="00EE6995">
        <w:rPr>
          <w:rFonts w:cs="Calibri"/>
          <w:color w:val="000000" w:themeColor="text1"/>
          <w:sz w:val="24"/>
          <w:szCs w:val="24"/>
        </w:rPr>
        <w:t xml:space="preserve"> </w:t>
      </w:r>
      <w:r w:rsidRPr="00EE6995">
        <w:rPr>
          <w:rFonts w:cs="Calibri"/>
          <w:color w:val="000000" w:themeColor="text1"/>
          <w:sz w:val="24"/>
          <w:szCs w:val="24"/>
        </w:rPr>
        <w:t>staff with significant responsibility for research and processes for ensuring a fair</w:t>
      </w:r>
      <w:r w:rsidRPr="00EE6995">
        <w:rPr>
          <w:rFonts w:cs="Calibri"/>
          <w:color w:val="000000" w:themeColor="text1"/>
          <w:sz w:val="24"/>
          <w:szCs w:val="24"/>
        </w:rPr>
        <w:t xml:space="preserve"> </w:t>
      </w:r>
      <w:r w:rsidRPr="00EE6995">
        <w:rPr>
          <w:rFonts w:cs="Calibri"/>
          <w:color w:val="000000" w:themeColor="text1"/>
          <w:sz w:val="24"/>
          <w:szCs w:val="24"/>
        </w:rPr>
        <w:t>approach to selecting outputs.</w:t>
      </w:r>
    </w:p>
    <w:p w14:paraId="563E7042" w14:textId="77777777" w:rsidR="00EE6995" w:rsidRPr="00EE6995" w:rsidRDefault="00EE6995" w:rsidP="00EE69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-Bold"/>
          <w:b/>
          <w:bCs/>
          <w:color w:val="000000" w:themeColor="text1"/>
          <w:sz w:val="24"/>
          <w:szCs w:val="24"/>
        </w:rPr>
        <w:t xml:space="preserve"> </w:t>
      </w:r>
      <w:r w:rsidRPr="00EE6995">
        <w:rPr>
          <w:rFonts w:cs="Calibri"/>
          <w:color w:val="000000" w:themeColor="text1"/>
          <w:sz w:val="24"/>
          <w:szCs w:val="24"/>
        </w:rPr>
        <w:t xml:space="preserve">7 June 2019: Deadline for </w:t>
      </w:r>
      <w:proofErr w:type="spellStart"/>
      <w:r w:rsidRPr="00EE6995">
        <w:rPr>
          <w:rFonts w:cs="Calibri"/>
          <w:color w:val="000000" w:themeColor="text1"/>
          <w:sz w:val="24"/>
          <w:szCs w:val="24"/>
        </w:rPr>
        <w:t>Marjon’s</w:t>
      </w:r>
      <w:proofErr w:type="spellEnd"/>
      <w:r w:rsidRPr="00EE6995">
        <w:rPr>
          <w:rFonts w:cs="Calibri"/>
          <w:color w:val="000000" w:themeColor="text1"/>
          <w:sz w:val="24"/>
          <w:szCs w:val="24"/>
        </w:rPr>
        <w:t xml:space="preserve"> Code of Practice</w:t>
      </w:r>
    </w:p>
    <w:p w14:paraId="6F2DA7E8" w14:textId="77777777" w:rsidR="00EE6995" w:rsidRPr="00EE6995" w:rsidRDefault="00EE6995" w:rsidP="00EE69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-Bold"/>
          <w:b/>
          <w:bCs/>
          <w:color w:val="000000" w:themeColor="text1"/>
          <w:sz w:val="24"/>
          <w:szCs w:val="24"/>
        </w:rPr>
        <w:t xml:space="preserve"> </w:t>
      </w:r>
      <w:r w:rsidRPr="00EE6995">
        <w:rPr>
          <w:rFonts w:cs="Calibri"/>
          <w:color w:val="000000" w:themeColor="text1"/>
          <w:sz w:val="24"/>
          <w:szCs w:val="24"/>
        </w:rPr>
        <w:t>Summer 2019: HEI codes of practice approved by Research England</w:t>
      </w:r>
    </w:p>
    <w:p w14:paraId="26958B3D" w14:textId="458F6E5C" w:rsidR="00EE6995" w:rsidRDefault="00EE6995" w:rsidP="00EE69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31 July 2020: Staff census date</w:t>
      </w:r>
    </w:p>
    <w:p w14:paraId="2A899BA9" w14:textId="77777777" w:rsidR="00EE6995" w:rsidRPr="00EE6995" w:rsidRDefault="00EE6995" w:rsidP="00EE6995">
      <w:pPr>
        <w:pStyle w:val="Heading1"/>
      </w:pPr>
    </w:p>
    <w:p w14:paraId="0A5C987A" w14:textId="77777777" w:rsidR="00EE6995" w:rsidRDefault="00EE6995" w:rsidP="00EE6995">
      <w:pPr>
        <w:pStyle w:val="Heading1"/>
        <w:rPr>
          <w:rFonts w:cs="Wingdings2"/>
        </w:rPr>
      </w:pPr>
      <w:r w:rsidRPr="00EE6995">
        <w:rPr>
          <w:rFonts w:cs="Calibri-Bold"/>
          <w:b/>
          <w:bCs/>
        </w:rPr>
        <w:t>Submission and Decisions</w:t>
      </w:r>
    </w:p>
    <w:p w14:paraId="51C44B44" w14:textId="77777777" w:rsidR="00EE6995" w:rsidRPr="00EE6995" w:rsidRDefault="00EE6995" w:rsidP="00EE69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November 2020: Closing date for submissions</w:t>
      </w:r>
    </w:p>
    <w:p w14:paraId="28314D7E" w14:textId="77777777" w:rsidR="00EE6995" w:rsidRDefault="00EE6995" w:rsidP="00EE69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2021: Assessment year</w:t>
      </w:r>
    </w:p>
    <w:p w14:paraId="24ACBF8C" w14:textId="77777777" w:rsidR="00EE6995" w:rsidRPr="00EE6995" w:rsidRDefault="00EE6995" w:rsidP="00EE69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December 2021: Publication of outcomes</w:t>
      </w:r>
    </w:p>
    <w:p w14:paraId="3679C0A9" w14:textId="1A8CBFF4" w:rsidR="00EE6995" w:rsidRPr="00EE6995" w:rsidRDefault="00EE6995" w:rsidP="00EE69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EE6995">
        <w:rPr>
          <w:rFonts w:cs="Calibri"/>
          <w:color w:val="000000" w:themeColor="text1"/>
          <w:sz w:val="24"/>
          <w:szCs w:val="24"/>
        </w:rPr>
        <w:t>Spring 2022: Publication of submissions and reports</w:t>
      </w:r>
    </w:p>
    <w:sectPr w:rsidR="00EE6995" w:rsidRPr="00EE6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rlito">
    <w:altName w:val="Calibri"/>
    <w:charset w:val="00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4E3"/>
    <w:multiLevelType w:val="hybridMultilevel"/>
    <w:tmpl w:val="FE105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5360"/>
    <w:multiLevelType w:val="hybridMultilevel"/>
    <w:tmpl w:val="B568E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31FF"/>
    <w:multiLevelType w:val="hybridMultilevel"/>
    <w:tmpl w:val="A266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853BF"/>
    <w:multiLevelType w:val="hybridMultilevel"/>
    <w:tmpl w:val="21D2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55912"/>
    <w:multiLevelType w:val="hybridMultilevel"/>
    <w:tmpl w:val="B8BE00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17A2DFD"/>
    <w:multiLevelType w:val="hybridMultilevel"/>
    <w:tmpl w:val="02E69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55A97"/>
    <w:multiLevelType w:val="hybridMultilevel"/>
    <w:tmpl w:val="F868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95"/>
    <w:rsid w:val="00E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E992F"/>
  <w15:chartTrackingRefBased/>
  <w15:docId w15:val="{3C3CD796-1E46-4928-BF02-B7CA6814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9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6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"/>
    <w:qFormat/>
    <w:rsid w:val="00EE6995"/>
    <w:pPr>
      <w:widowControl w:val="0"/>
      <w:autoSpaceDE w:val="0"/>
      <w:autoSpaceDN w:val="0"/>
      <w:spacing w:before="2" w:after="0" w:line="240" w:lineRule="auto"/>
      <w:ind w:left="488"/>
    </w:pPr>
    <w:rPr>
      <w:rFonts w:ascii="Carlito" w:eastAsia="Carlito" w:hAnsi="Carlito" w:cs="Carlito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EE6995"/>
    <w:rPr>
      <w:rFonts w:ascii="Carlito" w:eastAsia="Carlito" w:hAnsi="Carlito" w:cs="Carlito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Bell</dc:creator>
  <cp:keywords/>
  <dc:description/>
  <cp:lastModifiedBy>Laura Bell</cp:lastModifiedBy>
  <cp:revision>1</cp:revision>
  <dcterms:created xsi:type="dcterms:W3CDTF">2020-09-16T18:13:00Z</dcterms:created>
  <dcterms:modified xsi:type="dcterms:W3CDTF">2020-09-16T18:19:00Z</dcterms:modified>
</cp:coreProperties>
</file>