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B7ED" w14:textId="4887282C" w:rsidR="00EE6995" w:rsidRDefault="00EE6995" w:rsidP="00EE6995">
      <w:pPr>
        <w:pStyle w:val="Title"/>
        <w:jc w:val="center"/>
      </w:pPr>
      <w:r>
        <w:rPr>
          <w:noProof/>
        </w:rPr>
        <w:drawing>
          <wp:inline distT="0" distB="0" distL="0" distR="0" wp14:anchorId="55A02971" wp14:editId="765C2869">
            <wp:extent cx="1771650" cy="742950"/>
            <wp:effectExtent l="0" t="0" r="0" b="0"/>
            <wp:docPr id="1" name="Picture 1" descr="Plymouth Marjo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Plymouth Marjon Univers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7042B" w14:textId="77777777" w:rsidR="00EE6995" w:rsidRDefault="00EE6995" w:rsidP="00EE6995">
      <w:pPr>
        <w:spacing w:before="76"/>
        <w:ind w:left="288" w:right="289"/>
        <w:jc w:val="center"/>
        <w:rPr>
          <w:b/>
          <w:color w:val="001F5F"/>
          <w:sz w:val="32"/>
        </w:rPr>
      </w:pPr>
    </w:p>
    <w:p w14:paraId="6184910B" w14:textId="174C6FD2" w:rsidR="00EE6995" w:rsidRDefault="00EE6995" w:rsidP="00EE6995">
      <w:pPr>
        <w:pStyle w:val="Title"/>
        <w:jc w:val="center"/>
      </w:pPr>
      <w:bookmarkStart w:id="0" w:name="_GoBack"/>
      <w:r w:rsidRPr="00EE6995">
        <w:t>Research Excellence Framework</w:t>
      </w:r>
      <w:r>
        <w:t xml:space="preserve">: Quick </w:t>
      </w:r>
      <w:r w:rsidRPr="00EE6995">
        <w:t>Guide and Key Date</w:t>
      </w:r>
      <w:r>
        <w:t>s</w:t>
      </w:r>
    </w:p>
    <w:bookmarkEnd w:id="0"/>
    <w:p w14:paraId="0AD35A42" w14:textId="77777777" w:rsidR="00EE6995" w:rsidRDefault="00EE6995" w:rsidP="00EE6995">
      <w:pPr>
        <w:pStyle w:val="Title"/>
        <w:jc w:val="center"/>
      </w:pPr>
    </w:p>
    <w:p w14:paraId="646EDC96" w14:textId="03EACB44" w:rsidR="00EE6995" w:rsidRPr="00EE6995" w:rsidRDefault="00EE6995" w:rsidP="00EE6995">
      <w:pPr>
        <w:pStyle w:val="Heading1"/>
      </w:pPr>
      <w:r w:rsidRPr="00EE6995">
        <w:t>Overview</w:t>
      </w:r>
    </w:p>
    <w:p w14:paraId="0C114907" w14:textId="77777777" w:rsidR="00EE6995" w:rsidRPr="00EE6995" w:rsidRDefault="00EE6995" w:rsidP="00EE699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The REF is an assessment of research via a process of expert review across 34 units of</w:t>
      </w:r>
    </w:p>
    <w:p w14:paraId="194D9DE6" w14:textId="0B906597" w:rsidR="00EE6995" w:rsidRPr="00EE6995" w:rsidRDefault="00EE6995" w:rsidP="00EE699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assessment (UOA). It is important to Marjon to celebrate our excellent research, develop our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>research culture for our students and to enhance our external reputation. Marjon are likely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>to submit in three/four UOAs that reflect our distinctive curriculum areas and staff research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>excellence, these might include;</w:t>
      </w:r>
    </w:p>
    <w:p w14:paraId="7F7945E2" w14:textId="77777777" w:rsidR="00EE6995" w:rsidRDefault="00EE6995" w:rsidP="00EE69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UOAA3 Allied Health Professions, Health Services and Primary Care</w:t>
      </w:r>
    </w:p>
    <w:p w14:paraId="515FAF86" w14:textId="77777777" w:rsidR="00EE6995" w:rsidRDefault="00EE6995" w:rsidP="00EE69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UOAC17 Business and Management Studies</w:t>
      </w:r>
    </w:p>
    <w:p w14:paraId="24197E6E" w14:textId="77777777" w:rsidR="00EE6995" w:rsidRDefault="00EE6995" w:rsidP="00EE69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UOAC20 Social Work and Social Policy</w:t>
      </w:r>
    </w:p>
    <w:p w14:paraId="4503273D" w14:textId="77777777" w:rsidR="00EE6995" w:rsidRDefault="00EE6995" w:rsidP="00EE69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UOAC23 Education</w:t>
      </w:r>
    </w:p>
    <w:p w14:paraId="00BCDD68" w14:textId="1D078843" w:rsidR="00EE6995" w:rsidRPr="00EE6995" w:rsidRDefault="00EE6995" w:rsidP="00EE69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UOAC24 Sport and Exercise Sciences, Leisure and Tourism</w:t>
      </w:r>
    </w:p>
    <w:p w14:paraId="4073F2BF" w14:textId="77777777" w:rsidR="00EE6995" w:rsidRPr="00EE6995" w:rsidRDefault="00EE6995" w:rsidP="00EE699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p w14:paraId="68869148" w14:textId="77777777" w:rsidR="00EE6995" w:rsidRPr="00EE6995" w:rsidRDefault="00EE6995" w:rsidP="00EE6995">
      <w:pPr>
        <w:pStyle w:val="Heading1"/>
      </w:pPr>
      <w:r w:rsidRPr="00EE6995">
        <w:t>Outputs (60% weighting)</w:t>
      </w:r>
    </w:p>
    <w:p w14:paraId="07AC0B05" w14:textId="77777777" w:rsidR="00EE6995" w:rsidRDefault="00EE6995" w:rsidP="00EE69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The average number of outputs is 2.5 per full-time staff member, with a minimum of one</w:t>
      </w:r>
      <w:r w:rsidRPr="00EE6995">
        <w:rPr>
          <w:rFonts w:cs="Calibri"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>and maximum of five per staff member.</w:t>
      </w:r>
    </w:p>
    <w:p w14:paraId="50DD792A" w14:textId="77777777" w:rsidR="00EE6995" w:rsidRDefault="00EE6995" w:rsidP="00EE69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Outputs must be deposited in the CREST repository as soon after the point of acceptance</w:t>
      </w:r>
      <w:r w:rsidRPr="00EE6995">
        <w:rPr>
          <w:rFonts w:cs="Calibri"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>as possible, and no later than three months after acceptance to meet REF open access</w:t>
      </w:r>
      <w:r w:rsidRPr="00EE6995">
        <w:rPr>
          <w:rFonts w:cs="Calibri"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>requirements.</w:t>
      </w:r>
    </w:p>
    <w:p w14:paraId="022CC604" w14:textId="5984A5E7" w:rsidR="00EE6995" w:rsidRPr="00EE6995" w:rsidRDefault="00EE6995" w:rsidP="00EE69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Outputs must be published between 1 January 2014 to 31 December 2020.</w:t>
      </w:r>
    </w:p>
    <w:p w14:paraId="12FD9D41" w14:textId="77777777" w:rsidR="00EE6995" w:rsidRDefault="00EE6995" w:rsidP="00EE69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 w:themeColor="text1"/>
          <w:sz w:val="24"/>
          <w:szCs w:val="24"/>
        </w:rPr>
      </w:pPr>
    </w:p>
    <w:p w14:paraId="461A4504" w14:textId="77777777" w:rsidR="00EE6995" w:rsidRDefault="00EE6995" w:rsidP="00EE6995">
      <w:pPr>
        <w:pStyle w:val="Heading1"/>
      </w:pPr>
      <w:r w:rsidRPr="00EE6995">
        <w:t>Impact (25% weighting)</w:t>
      </w:r>
    </w:p>
    <w:p w14:paraId="3863A81A" w14:textId="5EB0083D" w:rsidR="00EE6995" w:rsidRPr="00EE6995" w:rsidRDefault="00EE6995" w:rsidP="00EE69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Each units of assessment Marjon submit to will require two impact case studies that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>demonstrate the impact of research beyond academia and on wider society.</w:t>
      </w:r>
    </w:p>
    <w:p w14:paraId="40206C4B" w14:textId="77777777" w:rsidR="00EE6995" w:rsidRPr="00EE6995" w:rsidRDefault="00EE6995" w:rsidP="00EE69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Impact must have been demonstrated between 1 August 2013 to 31 July 2020.</w:t>
      </w:r>
    </w:p>
    <w:p w14:paraId="3841E590" w14:textId="2B8418D3" w:rsidR="00EE6995" w:rsidRDefault="00EE6995" w:rsidP="00EE69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-Bold"/>
          <w:b/>
          <w:bCs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>Underpinning research for impact (minimum 2*) must have been published between 1</w:t>
      </w:r>
      <w:r w:rsidRPr="00EE6995">
        <w:rPr>
          <w:rFonts w:cs="Calibri"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>January 2000 to 31 December 2020.</w:t>
      </w:r>
    </w:p>
    <w:p w14:paraId="05B9319F" w14:textId="77777777" w:rsidR="00EE6995" w:rsidRPr="00EE6995" w:rsidRDefault="00EE6995" w:rsidP="00EE6995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p w14:paraId="531092F0" w14:textId="77777777" w:rsidR="00EE6995" w:rsidRPr="00EE6995" w:rsidRDefault="00EE6995" w:rsidP="00EE6995">
      <w:pPr>
        <w:pStyle w:val="Heading1"/>
      </w:pPr>
      <w:r w:rsidRPr="00EE6995">
        <w:t>Environment (15% weighting)</w:t>
      </w:r>
    </w:p>
    <w:p w14:paraId="0ACB4A19" w14:textId="77777777" w:rsidR="00EE6995" w:rsidRPr="00EE6995" w:rsidRDefault="00EE6995" w:rsidP="00EE69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The assessment of research environment includes post-graduate research students, grant</w:t>
      </w:r>
      <w:r w:rsidRPr="00EE6995">
        <w:rPr>
          <w:rFonts w:cs="Calibri"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>income, research strategy and culture for research at both University and UOA level.</w:t>
      </w:r>
    </w:p>
    <w:p w14:paraId="5964BE4F" w14:textId="0836F621" w:rsidR="00EE6995" w:rsidRDefault="00EE6995" w:rsidP="00EE69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The assessment period for environment data is 1 August 2013 to 31 July 2020.</w:t>
      </w:r>
    </w:p>
    <w:p w14:paraId="2926A284" w14:textId="77777777" w:rsidR="00EE6995" w:rsidRPr="00EE6995" w:rsidRDefault="00EE6995" w:rsidP="00EE6995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p w14:paraId="0D9C3EE9" w14:textId="77777777" w:rsidR="00EE6995" w:rsidRDefault="00EE6995" w:rsidP="00EE6995">
      <w:pPr>
        <w:pStyle w:val="Heading1"/>
        <w:rPr>
          <w:rFonts w:cs="Wingdings2"/>
        </w:rPr>
      </w:pPr>
      <w:r w:rsidRPr="00EE6995">
        <w:lastRenderedPageBreak/>
        <w:t>Who will be Included?</w:t>
      </w:r>
    </w:p>
    <w:p w14:paraId="39AB898E" w14:textId="77777777" w:rsidR="00EE6995" w:rsidRPr="00EE6995" w:rsidRDefault="00EE6995" w:rsidP="00EE69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Marjon will develop and consult on a code of practice to cover our process for identifying</w:t>
      </w:r>
      <w:r w:rsidRPr="00EE6995">
        <w:rPr>
          <w:rFonts w:cs="Calibri"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>staff with significant responsibility for research and processes for ensuring a fair</w:t>
      </w:r>
      <w:r w:rsidRPr="00EE6995">
        <w:rPr>
          <w:rFonts w:cs="Calibri"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>approach to selecting outputs.</w:t>
      </w:r>
    </w:p>
    <w:p w14:paraId="563E7042" w14:textId="77777777" w:rsidR="00EE6995" w:rsidRPr="00EE6995" w:rsidRDefault="00EE6995" w:rsidP="00EE69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-Bold"/>
          <w:b/>
          <w:bCs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 xml:space="preserve">7 June 2019: Deadline for </w:t>
      </w:r>
      <w:proofErr w:type="spellStart"/>
      <w:r w:rsidRPr="00EE6995">
        <w:rPr>
          <w:rFonts w:cs="Calibri"/>
          <w:color w:val="000000" w:themeColor="text1"/>
          <w:sz w:val="24"/>
          <w:szCs w:val="24"/>
        </w:rPr>
        <w:t>Marjon’s</w:t>
      </w:r>
      <w:proofErr w:type="spellEnd"/>
      <w:r w:rsidRPr="00EE6995">
        <w:rPr>
          <w:rFonts w:cs="Calibri"/>
          <w:color w:val="000000" w:themeColor="text1"/>
          <w:sz w:val="24"/>
          <w:szCs w:val="24"/>
        </w:rPr>
        <w:t xml:space="preserve"> Code of Practice</w:t>
      </w:r>
    </w:p>
    <w:p w14:paraId="6F2DA7E8" w14:textId="77777777" w:rsidR="00EE6995" w:rsidRPr="00EE6995" w:rsidRDefault="00EE6995" w:rsidP="00EE69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-Bold"/>
          <w:b/>
          <w:bCs/>
          <w:color w:val="000000" w:themeColor="text1"/>
          <w:sz w:val="24"/>
          <w:szCs w:val="24"/>
        </w:rPr>
        <w:t xml:space="preserve"> </w:t>
      </w:r>
      <w:r w:rsidRPr="00EE6995">
        <w:rPr>
          <w:rFonts w:cs="Calibri"/>
          <w:color w:val="000000" w:themeColor="text1"/>
          <w:sz w:val="24"/>
          <w:szCs w:val="24"/>
        </w:rPr>
        <w:t>Summer 2019: HEI codes of practice approved by Research England</w:t>
      </w:r>
    </w:p>
    <w:p w14:paraId="26958B3D" w14:textId="458F6E5C" w:rsidR="00EE6995" w:rsidRDefault="00EE6995" w:rsidP="00EE69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31 July 2020: Staff census date</w:t>
      </w:r>
    </w:p>
    <w:p w14:paraId="2A899BA9" w14:textId="77777777" w:rsidR="00EE6995" w:rsidRPr="00EE6995" w:rsidRDefault="00EE6995" w:rsidP="00EE6995">
      <w:pPr>
        <w:pStyle w:val="Heading1"/>
      </w:pPr>
    </w:p>
    <w:p w14:paraId="0A5C987A" w14:textId="77777777" w:rsidR="00EE6995" w:rsidRDefault="00EE6995" w:rsidP="00EE6995">
      <w:pPr>
        <w:pStyle w:val="Heading1"/>
        <w:rPr>
          <w:rFonts w:cs="Wingdings2"/>
        </w:rPr>
      </w:pPr>
      <w:r w:rsidRPr="00EE6995">
        <w:rPr>
          <w:rFonts w:cs="Calibri-Bold"/>
          <w:b/>
          <w:bCs/>
        </w:rPr>
        <w:t>Submission and Decisions</w:t>
      </w:r>
    </w:p>
    <w:p w14:paraId="51C44B44" w14:textId="77777777" w:rsidR="00EE6995" w:rsidRPr="00EE6995" w:rsidRDefault="00EE6995" w:rsidP="00EE69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November 2020: Closing date for submissions</w:t>
      </w:r>
    </w:p>
    <w:p w14:paraId="28314D7E" w14:textId="77777777" w:rsidR="00EE6995" w:rsidRDefault="00EE6995" w:rsidP="00EE69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2021: Assessment year</w:t>
      </w:r>
    </w:p>
    <w:p w14:paraId="24ACBF8C" w14:textId="77777777" w:rsidR="00EE6995" w:rsidRPr="00EE6995" w:rsidRDefault="00EE6995" w:rsidP="00EE69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December 2021: Publication of outcomes</w:t>
      </w:r>
    </w:p>
    <w:p w14:paraId="3679C0A9" w14:textId="1A8CBFF4" w:rsidR="00EE6995" w:rsidRPr="00EE6995" w:rsidRDefault="00EE6995" w:rsidP="00EE69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E6995">
        <w:rPr>
          <w:rFonts w:cs="Calibri"/>
          <w:color w:val="000000" w:themeColor="text1"/>
          <w:sz w:val="24"/>
          <w:szCs w:val="24"/>
        </w:rPr>
        <w:t>Spring 2022: Publication of submissions and reports</w:t>
      </w:r>
    </w:p>
    <w:sectPr w:rsidR="00EE6995" w:rsidRPr="00EE6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rlito">
    <w:altName w:val="Calibri"/>
    <w:charset w:val="00"/>
    <w:family w:val="swiss"/>
    <w:pitch w:val="variable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4E3"/>
    <w:multiLevelType w:val="hybridMultilevel"/>
    <w:tmpl w:val="FE10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5360"/>
    <w:multiLevelType w:val="hybridMultilevel"/>
    <w:tmpl w:val="B568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1FF"/>
    <w:multiLevelType w:val="hybridMultilevel"/>
    <w:tmpl w:val="A266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53BF"/>
    <w:multiLevelType w:val="hybridMultilevel"/>
    <w:tmpl w:val="21D2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5912"/>
    <w:multiLevelType w:val="hybridMultilevel"/>
    <w:tmpl w:val="B8BE00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7A2DFD"/>
    <w:multiLevelType w:val="hybridMultilevel"/>
    <w:tmpl w:val="02E6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5A97"/>
    <w:multiLevelType w:val="hybridMultilevel"/>
    <w:tmpl w:val="F86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95"/>
    <w:rsid w:val="00E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992F"/>
  <w15:chartTrackingRefBased/>
  <w15:docId w15:val="{3C3CD796-1E46-4928-BF02-B7CA6814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9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"/>
    <w:qFormat/>
    <w:rsid w:val="00EE6995"/>
    <w:pPr>
      <w:widowControl w:val="0"/>
      <w:autoSpaceDE w:val="0"/>
      <w:autoSpaceDN w:val="0"/>
      <w:spacing w:before="2" w:after="0" w:line="240" w:lineRule="auto"/>
      <w:ind w:left="488"/>
    </w:pPr>
    <w:rPr>
      <w:rFonts w:ascii="Carlito" w:eastAsia="Carlito" w:hAnsi="Carlito" w:cs="Carlito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E6995"/>
    <w:rPr>
      <w:rFonts w:ascii="Carlito" w:eastAsia="Carlito" w:hAnsi="Carlito" w:cs="Carlito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</dc:creator>
  <cp:keywords/>
  <dc:description/>
  <cp:lastModifiedBy>Laura Bell</cp:lastModifiedBy>
  <cp:revision>1</cp:revision>
  <dcterms:created xsi:type="dcterms:W3CDTF">2020-09-16T18:13:00Z</dcterms:created>
  <dcterms:modified xsi:type="dcterms:W3CDTF">2020-09-16T18:19:00Z</dcterms:modified>
</cp:coreProperties>
</file>